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13" w:rsidRPr="00E86115" w:rsidRDefault="00F16313" w:rsidP="00F1631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668C6" w:rsidRPr="00E86115" w:rsidRDefault="001668C6" w:rsidP="00F16313">
      <w:pPr>
        <w:autoSpaceDE w:val="0"/>
        <w:autoSpaceDN w:val="0"/>
        <w:adjustRightInd w:val="0"/>
        <w:spacing w:before="32" w:after="0" w:line="240" w:lineRule="auto"/>
        <w:ind w:right="-73"/>
        <w:rPr>
          <w:rFonts w:cstheme="minorHAnsi"/>
          <w:b/>
          <w:bCs/>
          <w:sz w:val="32"/>
          <w:szCs w:val="32"/>
        </w:rPr>
      </w:pPr>
      <w:r w:rsidRPr="00E86115">
        <w:rPr>
          <w:rFonts w:cstheme="minorHAnsi"/>
          <w:b/>
          <w:bCs/>
          <w:sz w:val="32"/>
          <w:szCs w:val="32"/>
        </w:rPr>
        <w:t>NEXT GENERATION SCIENCE STANDARDS</w:t>
      </w:r>
    </w:p>
    <w:p w:rsidR="00F16313" w:rsidRPr="00E86115" w:rsidRDefault="0047687C" w:rsidP="00F16313">
      <w:pPr>
        <w:autoSpaceDE w:val="0"/>
        <w:autoSpaceDN w:val="0"/>
        <w:adjustRightInd w:val="0"/>
        <w:spacing w:before="32" w:after="0" w:line="240" w:lineRule="auto"/>
        <w:ind w:right="-73"/>
        <w:rPr>
          <w:rFonts w:cstheme="minorHAnsi"/>
          <w:sz w:val="24"/>
          <w:szCs w:val="24"/>
        </w:rPr>
      </w:pPr>
      <w:r w:rsidRPr="00E86115">
        <w:rPr>
          <w:rFonts w:cstheme="minorHAnsi"/>
          <w:b/>
          <w:bCs/>
          <w:sz w:val="24"/>
          <w:szCs w:val="24"/>
        </w:rPr>
        <w:t>DIMENSIONS OF THE</w:t>
      </w:r>
      <w:r w:rsidRPr="00E86115">
        <w:rPr>
          <w:rFonts w:cstheme="minorHAnsi"/>
          <w:b/>
          <w:bCs/>
          <w:spacing w:val="-13"/>
          <w:sz w:val="24"/>
          <w:szCs w:val="24"/>
        </w:rPr>
        <w:t xml:space="preserve"> </w:t>
      </w:r>
      <w:r w:rsidR="00F16313" w:rsidRPr="00E86115">
        <w:rPr>
          <w:rFonts w:cstheme="minorHAnsi"/>
          <w:b/>
          <w:bCs/>
          <w:sz w:val="24"/>
          <w:szCs w:val="24"/>
        </w:rPr>
        <w:t>FRAMEWORK</w:t>
      </w:r>
    </w:p>
    <w:p w:rsidR="00F16313" w:rsidRPr="00E86115" w:rsidRDefault="00F16313" w:rsidP="00F16313">
      <w:pPr>
        <w:autoSpaceDE w:val="0"/>
        <w:autoSpaceDN w:val="0"/>
        <w:adjustRightInd w:val="0"/>
        <w:spacing w:after="0" w:line="200" w:lineRule="exact"/>
        <w:rPr>
          <w:rFonts w:cstheme="minorHAnsi"/>
          <w:color w:val="000000"/>
          <w:sz w:val="24"/>
          <w:szCs w:val="24"/>
        </w:rPr>
      </w:pP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ascii="Calibri" w:hAnsi="Calibri" w:cs="Calibri"/>
          <w:b/>
          <w:bCs/>
          <w:color w:val="5E9732"/>
          <w:w w:val="86"/>
          <w:sz w:val="24"/>
          <w:szCs w:val="24"/>
        </w:rPr>
      </w:pPr>
      <w:r w:rsidRPr="00E86115">
        <w:rPr>
          <w:rFonts w:ascii="Calibri" w:hAnsi="Calibri" w:cs="Calibri"/>
          <w:b/>
          <w:bCs/>
          <w:color w:val="5E9732"/>
          <w:sz w:val="24"/>
          <w:szCs w:val="24"/>
        </w:rPr>
        <w:t>1</w:t>
      </w:r>
      <w:r w:rsidRPr="00E86115">
        <w:rPr>
          <w:rFonts w:ascii="Calibri" w:hAnsi="Calibri" w:cs="Calibri"/>
          <w:b/>
          <w:bCs/>
          <w:color w:val="5E9732"/>
          <w:spacing w:val="-6"/>
          <w:sz w:val="24"/>
          <w:szCs w:val="24"/>
        </w:rPr>
        <w:t xml:space="preserve"> </w:t>
      </w:r>
      <w:r w:rsidRPr="00E86115">
        <w:rPr>
          <w:rFonts w:ascii="Calibri" w:hAnsi="Calibri" w:cs="Calibri"/>
          <w:b/>
          <w:bCs/>
          <w:color w:val="5E9732"/>
          <w:w w:val="86"/>
          <w:sz w:val="24"/>
          <w:szCs w:val="24"/>
        </w:rPr>
        <w:t>Scientific</w:t>
      </w:r>
      <w:r w:rsidRPr="00E86115">
        <w:rPr>
          <w:rFonts w:ascii="Calibri" w:hAnsi="Calibri" w:cs="Calibri"/>
          <w:b/>
          <w:bCs/>
          <w:color w:val="5E9732"/>
          <w:spacing w:val="10"/>
          <w:w w:val="86"/>
          <w:sz w:val="24"/>
          <w:szCs w:val="24"/>
        </w:rPr>
        <w:t xml:space="preserve"> </w:t>
      </w:r>
      <w:r w:rsidRPr="00E86115">
        <w:rPr>
          <w:rFonts w:ascii="Calibri" w:hAnsi="Calibri" w:cs="Calibri"/>
          <w:b/>
          <w:bCs/>
          <w:color w:val="5E9732"/>
          <w:w w:val="86"/>
          <w:sz w:val="24"/>
          <w:szCs w:val="24"/>
        </w:rPr>
        <w:t>and</w:t>
      </w:r>
      <w:r w:rsidRPr="00E86115">
        <w:rPr>
          <w:rFonts w:ascii="Calibri" w:hAnsi="Calibri" w:cs="Calibri"/>
          <w:b/>
          <w:bCs/>
          <w:color w:val="5E9732"/>
          <w:spacing w:val="13"/>
          <w:w w:val="86"/>
          <w:sz w:val="24"/>
          <w:szCs w:val="24"/>
        </w:rPr>
        <w:t xml:space="preserve"> </w:t>
      </w:r>
      <w:r w:rsidRPr="00E86115">
        <w:rPr>
          <w:rFonts w:ascii="Calibri" w:hAnsi="Calibri" w:cs="Calibri"/>
          <w:b/>
          <w:bCs/>
          <w:color w:val="5E9732"/>
          <w:w w:val="86"/>
          <w:sz w:val="24"/>
          <w:szCs w:val="24"/>
        </w:rPr>
        <w:t>Engineering</w:t>
      </w:r>
      <w:r w:rsidRPr="00E86115">
        <w:rPr>
          <w:rFonts w:ascii="Calibri" w:hAnsi="Calibri" w:cs="Calibri"/>
          <w:b/>
          <w:bCs/>
          <w:color w:val="5E9732"/>
          <w:spacing w:val="10"/>
          <w:w w:val="86"/>
          <w:sz w:val="24"/>
          <w:szCs w:val="24"/>
        </w:rPr>
        <w:t xml:space="preserve"> </w:t>
      </w:r>
      <w:proofErr w:type="gramStart"/>
      <w:r w:rsidRPr="00E86115">
        <w:rPr>
          <w:rFonts w:ascii="Calibri" w:hAnsi="Calibri" w:cs="Calibri"/>
          <w:b/>
          <w:bCs/>
          <w:color w:val="5E9732"/>
          <w:w w:val="86"/>
          <w:sz w:val="24"/>
          <w:szCs w:val="24"/>
        </w:rPr>
        <w:t>Practices</w:t>
      </w:r>
      <w:proofErr w:type="gramEnd"/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 xml:space="preserve">1.  </w:t>
      </w:r>
      <w:r w:rsidRPr="00E86115">
        <w:rPr>
          <w:rFonts w:cstheme="minorHAnsi"/>
          <w:color w:val="231F20"/>
          <w:spacing w:val="26"/>
          <w:sz w:val="24"/>
          <w:szCs w:val="24"/>
        </w:rPr>
        <w:t xml:space="preserve"> </w:t>
      </w:r>
      <w:r w:rsidRPr="00E86115">
        <w:rPr>
          <w:rFonts w:cstheme="minorHAnsi"/>
          <w:color w:val="231F20"/>
          <w:sz w:val="24"/>
          <w:szCs w:val="24"/>
        </w:rPr>
        <w:t>Asking questions (for science) and defining problems (for engineering)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2.   Developing and using models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3.   Planning and carrying out investigations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4.   Analyzing and interpreting data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5.   Using mathematics and computational thinking</w:t>
      </w:r>
    </w:p>
    <w:p w:rsidR="00F16313" w:rsidRPr="00E86115" w:rsidRDefault="00F16313" w:rsidP="00DC22FF">
      <w:pPr>
        <w:autoSpaceDE w:val="0"/>
        <w:autoSpaceDN w:val="0"/>
        <w:adjustRightInd w:val="0"/>
        <w:spacing w:before="30" w:after="0" w:line="240" w:lineRule="auto"/>
        <w:ind w:left="540" w:right="-20" w:hanging="45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6.   Constructing explanations (for science) and designing solutions (for engineering)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7.   Engaging in argument from evidence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8.   Obtaining, evaluating, and communicating information</w:t>
      </w:r>
    </w:p>
    <w:p w:rsidR="00F16313" w:rsidRPr="00E86115" w:rsidRDefault="00F16313" w:rsidP="00F16313">
      <w:pPr>
        <w:autoSpaceDE w:val="0"/>
        <w:autoSpaceDN w:val="0"/>
        <w:adjustRightInd w:val="0"/>
        <w:spacing w:before="3" w:after="0" w:line="200" w:lineRule="exact"/>
        <w:rPr>
          <w:rFonts w:cstheme="minorHAnsi"/>
          <w:color w:val="000000"/>
          <w:sz w:val="24"/>
          <w:szCs w:val="24"/>
        </w:rPr>
      </w:pPr>
    </w:p>
    <w:p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b/>
          <w:bCs/>
          <w:color w:val="5E9732"/>
          <w:w w:val="86"/>
          <w:sz w:val="24"/>
          <w:szCs w:val="24"/>
        </w:rPr>
      </w:pPr>
      <w:r w:rsidRPr="00E86115">
        <w:rPr>
          <w:rFonts w:cstheme="minorHAnsi"/>
          <w:b/>
          <w:bCs/>
          <w:color w:val="5E9732"/>
          <w:w w:val="86"/>
          <w:sz w:val="24"/>
          <w:szCs w:val="24"/>
        </w:rPr>
        <w:t>2 Crosscutting Concepts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1.   Patterns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2.   Cause and effect: Mechanism and explanation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3.   Scale, proportion, and quantity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4.   Systems and system models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5.   Energy and matter: Flows, cycles, and conservation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6.   Structure</w:t>
      </w:r>
      <w:bookmarkStart w:id="0" w:name="_GoBack"/>
      <w:bookmarkEnd w:id="0"/>
      <w:r w:rsidRPr="00E86115">
        <w:rPr>
          <w:rFonts w:cstheme="minorHAnsi"/>
          <w:color w:val="231F20"/>
          <w:sz w:val="24"/>
          <w:szCs w:val="24"/>
        </w:rPr>
        <w:t xml:space="preserve"> and function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7.   Stability and change</w:t>
      </w:r>
    </w:p>
    <w:p w:rsidR="00F16313" w:rsidRPr="00E86115" w:rsidRDefault="00F16313" w:rsidP="00F16313">
      <w:pPr>
        <w:autoSpaceDE w:val="0"/>
        <w:autoSpaceDN w:val="0"/>
        <w:adjustRightInd w:val="0"/>
        <w:spacing w:before="3" w:after="0" w:line="200" w:lineRule="exact"/>
        <w:rPr>
          <w:rFonts w:cstheme="minorHAnsi"/>
          <w:color w:val="000000"/>
          <w:sz w:val="24"/>
          <w:szCs w:val="24"/>
        </w:rPr>
      </w:pPr>
    </w:p>
    <w:p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b/>
          <w:bCs/>
          <w:color w:val="5E9732"/>
          <w:w w:val="86"/>
          <w:sz w:val="24"/>
          <w:szCs w:val="24"/>
        </w:rPr>
      </w:pPr>
      <w:r w:rsidRPr="00E86115">
        <w:rPr>
          <w:rFonts w:cstheme="minorHAnsi"/>
          <w:b/>
          <w:bCs/>
          <w:color w:val="5E9732"/>
          <w:w w:val="86"/>
          <w:sz w:val="24"/>
          <w:szCs w:val="24"/>
        </w:rPr>
        <w:t>3 Disciplinary Core Ideas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Physical Sciences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PS1: Matter and its interactions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PS2: Motion and stability:  Forces and interactions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PS3: Energy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PS4: Waves and their applications in technologies for information transfer</w:t>
      </w:r>
    </w:p>
    <w:p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</w:p>
    <w:p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Life Sciences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LS1: From molecules to organisms: Structures and processes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LS2: Ecosystems: Interactions, energy, and dynamics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LS3: Heredity: Inheritance and variation of traits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LS4: Biological evolution: Unity and diversity</w:t>
      </w:r>
    </w:p>
    <w:p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</w:p>
    <w:p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Earth and Space Sciences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 xml:space="preserve">ESS1: </w:t>
      </w:r>
      <w:proofErr w:type="gramStart"/>
      <w:r w:rsidRPr="00E86115">
        <w:rPr>
          <w:rFonts w:cstheme="minorHAnsi"/>
          <w:color w:val="231F20"/>
          <w:sz w:val="24"/>
          <w:szCs w:val="24"/>
        </w:rPr>
        <w:t>Earth’s  place</w:t>
      </w:r>
      <w:proofErr w:type="gramEnd"/>
      <w:r w:rsidRPr="00E86115">
        <w:rPr>
          <w:rFonts w:cstheme="minorHAnsi"/>
          <w:color w:val="231F20"/>
          <w:sz w:val="24"/>
          <w:szCs w:val="24"/>
        </w:rPr>
        <w:t xml:space="preserve">  in the universe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ESS2: Earth’s systems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ESS3: Earth and human activity</w:t>
      </w:r>
    </w:p>
    <w:p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</w:p>
    <w:p w:rsidR="00F16313" w:rsidRPr="00E86115" w:rsidRDefault="00F16313" w:rsidP="00AD2022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lastRenderedPageBreak/>
        <w:t>Engineering, Technology, and Applications of Science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ETS1: Engineering design</w:t>
      </w:r>
    </w:p>
    <w:p w:rsidR="00F16313" w:rsidRPr="00E86115" w:rsidRDefault="00F16313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  <w:r w:rsidRPr="00E86115">
        <w:rPr>
          <w:rFonts w:cstheme="minorHAnsi"/>
          <w:color w:val="231F20"/>
          <w:sz w:val="24"/>
          <w:szCs w:val="24"/>
        </w:rPr>
        <w:t>ETS2: Links among engineering, technology, science, and society</w:t>
      </w:r>
    </w:p>
    <w:p w:rsidR="001668C6" w:rsidRPr="00E86115" w:rsidRDefault="001668C6" w:rsidP="00F16313">
      <w:pPr>
        <w:autoSpaceDE w:val="0"/>
        <w:autoSpaceDN w:val="0"/>
        <w:adjustRightInd w:val="0"/>
        <w:spacing w:before="30" w:after="0" w:line="240" w:lineRule="auto"/>
        <w:ind w:left="114" w:right="-20"/>
        <w:rPr>
          <w:rFonts w:cstheme="minorHAnsi"/>
          <w:color w:val="231F20"/>
          <w:sz w:val="24"/>
          <w:szCs w:val="24"/>
        </w:rPr>
      </w:pPr>
    </w:p>
    <w:p w:rsidR="001668C6" w:rsidRPr="00E86115" w:rsidRDefault="001668C6" w:rsidP="001668C6">
      <w:pPr>
        <w:autoSpaceDE w:val="0"/>
        <w:autoSpaceDN w:val="0"/>
        <w:adjustRightInd w:val="0"/>
        <w:spacing w:before="30" w:after="0" w:line="240" w:lineRule="auto"/>
        <w:ind w:right="-20"/>
        <w:rPr>
          <w:rFonts w:cstheme="minorHAnsi"/>
          <w:b/>
          <w:color w:val="231F20"/>
          <w:sz w:val="24"/>
          <w:szCs w:val="24"/>
        </w:rPr>
      </w:pPr>
      <w:r w:rsidRPr="00E86115">
        <w:rPr>
          <w:rFonts w:cstheme="minorHAnsi"/>
          <w:b/>
          <w:color w:val="231F20"/>
          <w:sz w:val="24"/>
          <w:szCs w:val="24"/>
        </w:rPr>
        <w:t>SAMPLE MIDDLE SCHOOL STANDARD</w:t>
      </w:r>
    </w:p>
    <w:p w:rsidR="001668C6" w:rsidRPr="00E86115" w:rsidRDefault="001668C6" w:rsidP="001668C6">
      <w:pPr>
        <w:pStyle w:val="Default"/>
        <w:rPr>
          <w:rFonts w:asciiTheme="minorHAnsi" w:hAnsiTheme="minorHAnsi" w:cstheme="minorHAnsi"/>
          <w:color w:val="auto"/>
        </w:rPr>
      </w:pPr>
    </w:p>
    <w:p w:rsidR="001668C6" w:rsidRPr="00E86115" w:rsidRDefault="001668C6" w:rsidP="001668C6">
      <w:pPr>
        <w:pStyle w:val="Default"/>
        <w:rPr>
          <w:rFonts w:asciiTheme="minorHAnsi" w:hAnsiTheme="minorHAnsi" w:cstheme="minorHAnsi"/>
        </w:rPr>
      </w:pPr>
      <w:r w:rsidRPr="00E86115">
        <w:rPr>
          <w:rFonts w:asciiTheme="minorHAnsi" w:hAnsiTheme="minorHAnsi" w:cstheme="minorHAnsi"/>
          <w:bCs/>
          <w:highlight w:val="yellow"/>
        </w:rPr>
        <w:t>Use evidence to support an explanation</w:t>
      </w:r>
      <w:r w:rsidRPr="00E86115">
        <w:rPr>
          <w:rFonts w:asciiTheme="minorHAnsi" w:hAnsiTheme="minorHAnsi" w:cstheme="minorHAnsi"/>
          <w:bCs/>
        </w:rPr>
        <w:t xml:space="preserve"> that </w:t>
      </w:r>
      <w:r w:rsidRPr="00E86115">
        <w:rPr>
          <w:rFonts w:asciiTheme="minorHAnsi" w:hAnsiTheme="minorHAnsi" w:cstheme="minorHAnsi"/>
          <w:bCs/>
          <w:highlight w:val="green"/>
        </w:rPr>
        <w:t>matter is conserved</w:t>
      </w:r>
      <w:r w:rsidRPr="00E86115">
        <w:rPr>
          <w:rFonts w:asciiTheme="minorHAnsi" w:hAnsiTheme="minorHAnsi" w:cstheme="minorHAnsi"/>
          <w:bCs/>
        </w:rPr>
        <w:t xml:space="preserve"> when </w:t>
      </w:r>
      <w:r w:rsidRPr="00E86115">
        <w:rPr>
          <w:rFonts w:asciiTheme="minorHAnsi" w:hAnsiTheme="minorHAnsi" w:cstheme="minorHAnsi"/>
          <w:bCs/>
          <w:highlight w:val="cyan"/>
        </w:rPr>
        <w:t>molecules from food react with oxygen in the environment and cycle repeatedly between living and non-living components of ecosystem</w:t>
      </w:r>
      <w:r w:rsidRPr="00E86115">
        <w:rPr>
          <w:rFonts w:asciiTheme="minorHAnsi" w:hAnsiTheme="minorHAnsi" w:cstheme="minorHAnsi"/>
          <w:bCs/>
        </w:rPr>
        <w:t xml:space="preserve">. </w:t>
      </w:r>
    </w:p>
    <w:p w:rsidR="001668C6" w:rsidRPr="00E86115" w:rsidRDefault="001668C6" w:rsidP="001668C6">
      <w:pPr>
        <w:autoSpaceDE w:val="0"/>
        <w:autoSpaceDN w:val="0"/>
        <w:adjustRightInd w:val="0"/>
        <w:spacing w:before="30" w:after="0" w:line="240" w:lineRule="auto"/>
        <w:ind w:right="-20"/>
        <w:rPr>
          <w:rFonts w:cstheme="minorHAnsi"/>
          <w:b/>
          <w:color w:val="231F20"/>
          <w:sz w:val="24"/>
          <w:szCs w:val="24"/>
        </w:rPr>
      </w:pPr>
    </w:p>
    <w:p w:rsidR="003D287E" w:rsidRPr="00E86115" w:rsidRDefault="003D287E">
      <w:pPr>
        <w:rPr>
          <w:rFonts w:cstheme="minorHAnsi"/>
          <w:sz w:val="24"/>
          <w:szCs w:val="24"/>
        </w:rPr>
      </w:pPr>
    </w:p>
    <w:sectPr w:rsidR="003D287E" w:rsidRPr="00E86115" w:rsidSect="001668C6">
      <w:pgSz w:w="11880" w:h="1440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313"/>
    <w:rsid w:val="001668C6"/>
    <w:rsid w:val="003D287E"/>
    <w:rsid w:val="0047687C"/>
    <w:rsid w:val="005A688E"/>
    <w:rsid w:val="00870AEE"/>
    <w:rsid w:val="0088158A"/>
    <w:rsid w:val="00AD2022"/>
    <w:rsid w:val="00B22652"/>
    <w:rsid w:val="00C433CD"/>
    <w:rsid w:val="00DC22FF"/>
    <w:rsid w:val="00E86115"/>
    <w:rsid w:val="00F1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668C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668C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Joyce</dc:creator>
  <cp:lastModifiedBy>Parker, Joyce</cp:lastModifiedBy>
  <cp:revision>2</cp:revision>
  <dcterms:created xsi:type="dcterms:W3CDTF">2012-06-20T20:48:00Z</dcterms:created>
  <dcterms:modified xsi:type="dcterms:W3CDTF">2012-06-20T21:53:00Z</dcterms:modified>
</cp:coreProperties>
</file>