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7B" w:rsidRDefault="0086367B" w:rsidP="0086367B">
      <w:pPr>
        <w:jc w:val="center"/>
        <w:rPr>
          <w:rFonts w:cs="Calibri"/>
          <w:b/>
          <w:sz w:val="28"/>
          <w:szCs w:val="28"/>
        </w:rPr>
      </w:pPr>
      <w:r w:rsidRPr="00C92743">
        <w:rPr>
          <w:b/>
          <w:sz w:val="28"/>
        </w:rPr>
        <w:t xml:space="preserve">Polar Bear </w:t>
      </w:r>
      <w:proofErr w:type="spellStart"/>
      <w:r w:rsidRPr="00C92743">
        <w:rPr>
          <w:b/>
          <w:sz w:val="28"/>
        </w:rPr>
        <w:t>Ongoings</w:t>
      </w:r>
      <w:proofErr w:type="spellEnd"/>
      <w:r>
        <w:rPr>
          <w:b/>
          <w:sz w:val="28"/>
        </w:rPr>
        <w:t xml:space="preserve"> – taken from the Polar Bear Specialist Group website</w:t>
      </w:r>
      <w:r>
        <w:rPr>
          <w:rFonts w:cs="Calibri"/>
          <w:b/>
          <w:sz w:val="28"/>
          <w:szCs w:val="28"/>
        </w:rPr>
        <w:t xml:space="preserve"> </w:t>
      </w:r>
    </w:p>
    <w:p w:rsidR="0086367B" w:rsidRDefault="0086367B" w:rsidP="0086367B">
      <w:pPr>
        <w:jc w:val="center"/>
        <w:rPr>
          <w:rFonts w:cs="Calibri"/>
          <w:b/>
          <w:sz w:val="28"/>
          <w:szCs w:val="28"/>
        </w:rPr>
      </w:pPr>
      <w:r>
        <w:rPr>
          <w:rFonts w:cs="Calibri"/>
          <w:b/>
          <w:sz w:val="28"/>
          <w:szCs w:val="28"/>
        </w:rPr>
        <w:t>Reading to accompany Polar Bear Citizenship Mini-Unit</w:t>
      </w:r>
    </w:p>
    <w:p w:rsidR="0086367B" w:rsidRPr="00493D28" w:rsidRDefault="0086367B" w:rsidP="0086367B">
      <w:pPr>
        <w:jc w:val="center"/>
        <w:rPr>
          <w:rFonts w:cs="Calibri"/>
          <w:b/>
        </w:rPr>
      </w:pPr>
      <w:r>
        <w:rPr>
          <w:rFonts w:cs="Calibri"/>
          <w:b/>
          <w:noProof/>
        </w:rPr>
        <w:drawing>
          <wp:inline distT="0" distB="0" distL="0" distR="0">
            <wp:extent cx="5817925" cy="3925194"/>
            <wp:effectExtent l="0" t="0" r="0" b="0"/>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17925" cy="3925194"/>
                    </a:xfrm>
                    <a:prstGeom prst="rect">
                      <a:avLst/>
                    </a:prstGeom>
                  </pic:spPr>
                </pic:pic>
              </a:graphicData>
            </a:graphic>
          </wp:inline>
        </w:drawing>
      </w:r>
    </w:p>
    <w:p w:rsidR="0086367B" w:rsidRPr="00C92743" w:rsidRDefault="0086367B" w:rsidP="0086367B">
      <w:pPr>
        <w:pStyle w:val="NormalWeb"/>
        <w:spacing w:before="0" w:beforeAutospacing="0" w:after="0" w:afterAutospacing="0"/>
        <w:rPr>
          <w:b/>
          <w:sz w:val="28"/>
        </w:rPr>
      </w:pPr>
      <w:r>
        <w:rPr>
          <w:rFonts w:cs="Calibri"/>
          <w:b/>
        </w:rPr>
        <w:t xml:space="preserve">Written by: </w:t>
      </w:r>
      <w:r>
        <w:rPr>
          <w:b/>
          <w:sz w:val="28"/>
        </w:rPr>
        <w:t>Polar Bear Specialist Group website</w:t>
      </w:r>
    </w:p>
    <w:p w:rsidR="0086367B" w:rsidRPr="00493D28" w:rsidRDefault="0086367B" w:rsidP="0086367B">
      <w:pPr>
        <w:spacing w:line="240" w:lineRule="auto"/>
        <w:jc w:val="center"/>
        <w:rPr>
          <w:rFonts w:cs="Calibri"/>
          <w:b/>
          <w:sz w:val="24"/>
          <w:szCs w:val="24"/>
        </w:rPr>
      </w:pPr>
    </w:p>
    <w:p w:rsidR="0086367B" w:rsidRPr="00493D28" w:rsidRDefault="0086367B" w:rsidP="0086367B">
      <w:pPr>
        <w:spacing w:line="240" w:lineRule="auto"/>
        <w:jc w:val="center"/>
        <w:rPr>
          <w:rFonts w:cs="Calibri"/>
          <w:b/>
          <w:bCs/>
          <w:sz w:val="24"/>
          <w:szCs w:val="24"/>
        </w:rPr>
      </w:pPr>
      <w:r w:rsidRPr="00493D28">
        <w:rPr>
          <w:rFonts w:cs="Calibri"/>
          <w:b/>
          <w:bCs/>
          <w:sz w:val="24"/>
          <w:szCs w:val="24"/>
        </w:rPr>
        <w:t>Culturally relevant ecology, learning progressions and environmental literacy</w:t>
      </w:r>
    </w:p>
    <w:p w:rsidR="0086367B" w:rsidRPr="00493D28" w:rsidRDefault="0086367B" w:rsidP="0086367B">
      <w:pPr>
        <w:spacing w:line="240" w:lineRule="auto"/>
        <w:jc w:val="center"/>
        <w:rPr>
          <w:rFonts w:cs="Calibri"/>
          <w:b/>
          <w:sz w:val="24"/>
          <w:szCs w:val="24"/>
        </w:rPr>
      </w:pPr>
      <w:r>
        <w:rPr>
          <w:rFonts w:cs="Calibri"/>
          <w:b/>
          <w:sz w:val="24"/>
          <w:szCs w:val="24"/>
        </w:rPr>
        <w:t>Long Term Ecological Research</w:t>
      </w:r>
      <w:r w:rsidRPr="00493D28">
        <w:rPr>
          <w:rFonts w:cs="Calibri"/>
          <w:b/>
          <w:sz w:val="24"/>
          <w:szCs w:val="24"/>
        </w:rPr>
        <w:t xml:space="preserve"> Math Science Partnership</w:t>
      </w:r>
    </w:p>
    <w:p w:rsidR="0086367B" w:rsidRPr="00493D28" w:rsidRDefault="0086367B" w:rsidP="0086367B">
      <w:pPr>
        <w:spacing w:line="240" w:lineRule="auto"/>
        <w:jc w:val="center"/>
        <w:rPr>
          <w:rFonts w:cs="Calibri"/>
          <w:b/>
          <w:sz w:val="24"/>
          <w:szCs w:val="24"/>
        </w:rPr>
      </w:pPr>
      <w:r>
        <w:rPr>
          <w:rFonts w:cs="Calibri"/>
          <w:b/>
        </w:rPr>
        <w:t>2012</w:t>
      </w:r>
    </w:p>
    <w:p w:rsidR="0086367B" w:rsidRDefault="0086367B" w:rsidP="0086367B">
      <w:pPr>
        <w:pStyle w:val="NoSpacing1"/>
        <w:rPr>
          <w:rFonts w:ascii="Calibri" w:hAnsi="Calibri"/>
        </w:rPr>
      </w:pPr>
      <w:r w:rsidRPr="00493D28">
        <w:rPr>
          <w:rFonts w:ascii="Calibri" w:hAnsi="Calibri"/>
        </w:rPr>
        <w:t>Disclaimer: This research is supported by a grant from the National Science Foundation: Targeted Partnership: Culturally relevant ecology, learning progressions and environmental literacy (NSF-0832173). Any opinions, findings, and conclusions or recommendations expressed in this material are those of the author(s) and do not necessarily reflect the views of the National Science Foundation.</w:t>
      </w:r>
    </w:p>
    <w:p w:rsidR="0086367B" w:rsidRDefault="0086367B" w:rsidP="0086367B">
      <w:r>
        <w:rPr>
          <w:noProof/>
        </w:rPr>
        <w:drawing>
          <wp:inline distT="0" distB="0" distL="0" distR="0">
            <wp:extent cx="5943600" cy="700252"/>
            <wp:effectExtent l="0" t="0" r="0" b="5080"/>
            <wp:docPr id="52" name="Picture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700252"/>
                    </a:xfrm>
                    <a:prstGeom prst="rect">
                      <a:avLst/>
                    </a:prstGeom>
                    <a:noFill/>
                    <a:ln>
                      <a:noFill/>
                    </a:ln>
                  </pic:spPr>
                </pic:pic>
              </a:graphicData>
            </a:graphic>
          </wp:inline>
        </w:drawing>
      </w:r>
      <w:bookmarkStart w:id="0" w:name="_GoBack"/>
      <w:bookmarkEnd w:id="0"/>
    </w:p>
    <w:p w:rsidR="00EC51AB" w:rsidRPr="00C92743" w:rsidRDefault="00EC51AB" w:rsidP="00EC51AB">
      <w:pPr>
        <w:pStyle w:val="NormalWeb"/>
        <w:spacing w:before="0" w:beforeAutospacing="0" w:after="0" w:afterAutospacing="0"/>
        <w:rPr>
          <w:b/>
          <w:sz w:val="28"/>
        </w:rPr>
      </w:pPr>
      <w:r w:rsidRPr="00C92743">
        <w:rPr>
          <w:b/>
          <w:sz w:val="28"/>
        </w:rPr>
        <w:lastRenderedPageBreak/>
        <w:t xml:space="preserve">Polar Bear </w:t>
      </w:r>
      <w:proofErr w:type="spellStart"/>
      <w:r w:rsidRPr="00C92743">
        <w:rPr>
          <w:b/>
          <w:sz w:val="28"/>
        </w:rPr>
        <w:t>Ongoings</w:t>
      </w:r>
      <w:proofErr w:type="spellEnd"/>
      <w:r>
        <w:rPr>
          <w:b/>
          <w:sz w:val="28"/>
        </w:rPr>
        <w:t xml:space="preserve"> – taken from the Polar Bear Specialist Group website</w:t>
      </w:r>
    </w:p>
    <w:p w:rsidR="00EC51AB" w:rsidRPr="00EC51AB" w:rsidRDefault="00EC51AB" w:rsidP="00EC51AB">
      <w:pPr>
        <w:spacing w:before="100" w:beforeAutospacing="1" w:after="100" w:afterAutospacing="1" w:line="24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Note: The Polar Bear Specialist Group is group of 25 scientists who meet every 3-5 years under the guidelines of the International Union for Conservation of Nature’s Species Survival Commission.  They share data publically about the status of polar bears.  </w:t>
      </w:r>
    </w:p>
    <w:p w:rsidR="00EC51AB" w:rsidRPr="00EC51AB" w:rsidRDefault="00EC51AB" w:rsidP="00EC51AB">
      <w:pPr>
        <w:spacing w:before="100" w:beforeAutospacing="1" w:after="100" w:afterAutospacing="1" w:line="240" w:lineRule="auto"/>
        <w:rPr>
          <w:rFonts w:ascii="Times New Roman" w:eastAsia="Times New Roman" w:hAnsi="Times New Roman" w:cs="Times New Roman"/>
          <w:sz w:val="24"/>
          <w:szCs w:val="24"/>
        </w:rPr>
      </w:pPr>
      <w:r w:rsidRPr="00EC51AB">
        <w:rPr>
          <w:rFonts w:ascii="Times New Roman" w:eastAsia="Times New Roman" w:hAnsi="Times New Roman" w:cs="Times New Roman"/>
          <w:sz w:val="24"/>
          <w:szCs w:val="24"/>
        </w:rPr>
        <w:t>Polar bears are not evenly distributed throughout the Arctic, nor do they comprise a single nomadic cosmopolitan population, but rather occur in 19 relatively discrete subpopulations. There is however an uncertainty about the discreteness of the less studied subpopulations, particularly in</w:t>
      </w:r>
      <w:r>
        <w:rPr>
          <w:rFonts w:ascii="Times New Roman" w:eastAsia="Times New Roman" w:hAnsi="Times New Roman" w:cs="Times New Roman"/>
          <w:sz w:val="24"/>
          <w:szCs w:val="24"/>
        </w:rPr>
        <w:t xml:space="preserve"> the Russian Arctic and neighbo</w:t>
      </w:r>
      <w:r w:rsidRPr="00EC51AB">
        <w:rPr>
          <w:rFonts w:ascii="Times New Roman" w:eastAsia="Times New Roman" w:hAnsi="Times New Roman" w:cs="Times New Roman"/>
          <w:sz w:val="24"/>
          <w:szCs w:val="24"/>
        </w:rPr>
        <w:t xml:space="preserve">ring areas, due to very restricted data on live capture and tagging. </w:t>
      </w:r>
      <w:r w:rsidRPr="00EC51AB">
        <w:rPr>
          <w:rFonts w:ascii="Times New Roman" w:eastAsia="Times New Roman" w:hAnsi="Times New Roman" w:cs="Times New Roman"/>
          <w:b/>
          <w:bCs/>
          <w:sz w:val="24"/>
          <w:szCs w:val="24"/>
        </w:rPr>
        <w:t>The total number of polar bears worldwide is estimated to be 20,000 - 25,000.</w:t>
      </w:r>
    </w:p>
    <w:tbl>
      <w:tblPr>
        <w:tblpPr w:leftFromText="45" w:rightFromText="45" w:vertAnchor="text"/>
        <w:tblW w:w="3225" w:type="dxa"/>
        <w:tblCellSpacing w:w="0" w:type="dxa"/>
        <w:tblCellMar>
          <w:left w:w="0" w:type="dxa"/>
          <w:right w:w="0" w:type="dxa"/>
        </w:tblCellMar>
        <w:tblLook w:val="04A0"/>
      </w:tblPr>
      <w:tblGrid>
        <w:gridCol w:w="3225"/>
      </w:tblGrid>
      <w:tr w:rsidR="00C92743" w:rsidRPr="00C92743" w:rsidTr="00C92743">
        <w:trPr>
          <w:tblCellSpacing w:w="0" w:type="dxa"/>
        </w:trPr>
        <w:tc>
          <w:tcPr>
            <w:tcW w:w="0" w:type="auto"/>
            <w:hideMark/>
          </w:tcPr>
          <w:p w:rsidR="00C92743" w:rsidRPr="00C92743" w:rsidRDefault="00C92743" w:rsidP="00C92743">
            <w:pPr>
              <w:spacing w:after="0" w:line="240" w:lineRule="auto"/>
              <w:rPr>
                <w:rFonts w:ascii="Times New Roman" w:eastAsia="Times New Roman" w:hAnsi="Times New Roman" w:cs="Times New Roman"/>
                <w:sz w:val="24"/>
                <w:szCs w:val="24"/>
              </w:rPr>
            </w:pPr>
          </w:p>
        </w:tc>
      </w:tr>
      <w:tr w:rsidR="00C92743" w:rsidRPr="00C92743" w:rsidTr="00C92743">
        <w:trPr>
          <w:tblCellSpacing w:w="0" w:type="dxa"/>
        </w:trPr>
        <w:tc>
          <w:tcPr>
            <w:tcW w:w="0" w:type="auto"/>
            <w:hideMark/>
          </w:tcPr>
          <w:p w:rsidR="00C92743" w:rsidRPr="00C92743" w:rsidRDefault="00C92743" w:rsidP="00C92743">
            <w:pPr>
              <w:spacing w:after="0" w:line="240" w:lineRule="auto"/>
              <w:rPr>
                <w:rFonts w:ascii="Times New Roman" w:eastAsia="Times New Roman" w:hAnsi="Times New Roman" w:cs="Times New Roman"/>
                <w:i/>
                <w:sz w:val="24"/>
                <w:szCs w:val="24"/>
              </w:rPr>
            </w:pPr>
          </w:p>
        </w:tc>
      </w:tr>
    </w:tbl>
    <w:p w:rsidR="00C92743" w:rsidRDefault="00DD5163" w:rsidP="00C92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3070225</wp:posOffset>
            </wp:positionH>
            <wp:positionV relativeFrom="paragraph">
              <wp:posOffset>806450</wp:posOffset>
            </wp:positionV>
            <wp:extent cx="3053715" cy="2286000"/>
            <wp:effectExtent l="19050" t="0" r="0" b="0"/>
            <wp:wrapTight wrapText="bothSides">
              <wp:wrapPolygon edited="0">
                <wp:start x="-135" y="0"/>
                <wp:lineTo x="-135" y="21420"/>
                <wp:lineTo x="21560" y="21420"/>
                <wp:lineTo x="21560" y="0"/>
                <wp:lineTo x="-135" y="0"/>
              </wp:wrapPolygon>
            </wp:wrapTight>
            <wp:docPr id="9" name="irc_mi" descr="http://www.cejournal.net/wp-content/uploads/2009/12/sea-ice-nov09-1024x7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ejournal.net/wp-content/uploads/2009/12/sea-ice-nov09-1024x765.png"/>
                    <pic:cNvPicPr>
                      <a:picLocks noChangeAspect="1" noChangeArrowheads="1"/>
                    </pic:cNvPicPr>
                  </pic:nvPicPr>
                  <pic:blipFill>
                    <a:blip r:embed="rId7"/>
                    <a:srcRect/>
                    <a:stretch>
                      <a:fillRect/>
                    </a:stretch>
                  </pic:blipFill>
                  <pic:spPr bwMode="auto">
                    <a:xfrm>
                      <a:off x="0" y="0"/>
                      <a:ext cx="3053715" cy="2286000"/>
                    </a:xfrm>
                    <a:prstGeom prst="rect">
                      <a:avLst/>
                    </a:prstGeom>
                    <a:noFill/>
                    <a:ln w="9525">
                      <a:noFill/>
                      <a:miter lim="800000"/>
                      <a:headEnd/>
                      <a:tailEnd/>
                    </a:ln>
                  </pic:spPr>
                </pic:pic>
              </a:graphicData>
            </a:graphic>
          </wp:anchor>
        </w:drawing>
      </w:r>
      <w:r w:rsidR="00C92743" w:rsidRPr="00C92743">
        <w:rPr>
          <w:rFonts w:ascii="Times New Roman" w:eastAsia="Times New Roman" w:hAnsi="Times New Roman" w:cs="Times New Roman"/>
          <w:sz w:val="24"/>
          <w:szCs w:val="24"/>
        </w:rPr>
        <w:t xml:space="preserve">Polar bears and their prey have evolved to living in the extreme conditions of the Arctic. Polar bears and seals are dependent on sea-ice for foraging, resting, and reproduction. Today, polar bear populations are facing threats previously unprecedented during recorded history in the Arctic. Recent climate change scenarios based upon modeling of climate trend data predict that the Arctic region will experience major changes in the upcoming decades. </w:t>
      </w:r>
    </w:p>
    <w:p w:rsidR="00842563" w:rsidRPr="00DD5163" w:rsidRDefault="00842563" w:rsidP="00DD5163">
      <w:pPr>
        <w:spacing w:before="100" w:beforeAutospacing="1" w:after="100" w:afterAutospacing="1" w:line="240" w:lineRule="auto"/>
        <w:rPr>
          <w:rFonts w:ascii="Times New Roman" w:hAnsi="Times New Roman" w:cs="Times New Roman"/>
          <w:sz w:val="24"/>
        </w:rPr>
      </w:pPr>
      <w:r w:rsidRPr="00DD5163">
        <w:rPr>
          <w:rFonts w:ascii="Times New Roman" w:hAnsi="Times New Roman" w:cs="Times New Roman"/>
          <w:sz w:val="24"/>
        </w:rPr>
        <w:t xml:space="preserve">Polar bears are not evenly distributed throughout the Arctic.  They do not make up a single population, but rather occur in 19 relatively discrete subpopulations. Currently, eight populations are declining, three are stable, and one is increasing in size.  We don’t know enough about the rest of the populations to know whether their populations are increasing or decreasing.  </w:t>
      </w:r>
    </w:p>
    <w:p w:rsidR="00C92743" w:rsidRDefault="00C92743" w:rsidP="00C9274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An Example from Hudson Bay</w:t>
      </w:r>
    </w:p>
    <w:p w:rsidR="00C92743" w:rsidRDefault="00842563" w:rsidP="00C92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r w:rsidR="00C92743" w:rsidRPr="00C92743">
        <w:rPr>
          <w:rFonts w:ascii="Times New Roman" w:eastAsia="Times New Roman" w:hAnsi="Times New Roman" w:cs="Times New Roman"/>
          <w:sz w:val="24"/>
          <w:szCs w:val="24"/>
        </w:rPr>
        <w:t xml:space="preserve"> Western Hudson Bay researchers have collected demographic information on polar bears since 1981</w:t>
      </w:r>
      <w:r>
        <w:rPr>
          <w:rFonts w:ascii="Times New Roman" w:eastAsia="Times New Roman" w:hAnsi="Times New Roman" w:cs="Times New Roman"/>
          <w:sz w:val="24"/>
          <w:szCs w:val="24"/>
        </w:rPr>
        <w:t>, where</w:t>
      </w:r>
      <w:r w:rsidR="00C92743" w:rsidRPr="00C92743">
        <w:rPr>
          <w:rFonts w:ascii="Times New Roman" w:eastAsia="Times New Roman" w:hAnsi="Times New Roman" w:cs="Times New Roman"/>
          <w:sz w:val="24"/>
          <w:szCs w:val="24"/>
        </w:rPr>
        <w:t xml:space="preserve"> the sea ice breakup has been occurring earlier. The earlier breakup has been related to the poorer condition of polar bears and there is a correlation between the earlier breakup and a pattern of warming air temperatures during the spring between 1950 and 1990. It appears that earlier breakup caused by warmer temperatures has resulted in declines in physical and reproductive parameters of polar bears in this area. This is the only study to date to demonstrate the effects of changed environment resulting from climate changes, and a corresponding effect on polar bears. Climate change is not uniform in all areas of the Arctic, however. Since Hudson Bay is located at the southern most extent of the range of polar bears, findings here may be a forewarning of changes to come in future years for other areas of the Arctic. </w:t>
      </w:r>
    </w:p>
    <w:p w:rsidR="00D64468" w:rsidRPr="00C92743" w:rsidRDefault="00D64468" w:rsidP="00C92743">
      <w:pPr>
        <w:spacing w:before="100" w:beforeAutospacing="1" w:after="100" w:afterAutospacing="1" w:line="240" w:lineRule="auto"/>
        <w:rPr>
          <w:rFonts w:ascii="Times New Roman" w:eastAsia="Times New Roman" w:hAnsi="Times New Roman" w:cs="Times New Roman"/>
          <w:sz w:val="24"/>
          <w:szCs w:val="24"/>
        </w:rPr>
      </w:pPr>
    </w:p>
    <w:p w:rsidR="00C92743" w:rsidRDefault="00C92743" w:rsidP="00C9274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What else affects polar bears?</w:t>
      </w:r>
    </w:p>
    <w:p w:rsidR="00C92743" w:rsidRDefault="00C92743" w:rsidP="00C92743">
      <w:pPr>
        <w:spacing w:before="100" w:beforeAutospacing="1" w:after="100" w:afterAutospacing="1" w:line="240" w:lineRule="auto"/>
        <w:rPr>
          <w:rFonts w:ascii="Times New Roman" w:eastAsia="Times New Roman" w:hAnsi="Times New Roman" w:cs="Times New Roman"/>
          <w:sz w:val="24"/>
          <w:szCs w:val="24"/>
        </w:rPr>
      </w:pPr>
      <w:r w:rsidRPr="00C92743">
        <w:rPr>
          <w:rFonts w:ascii="Times New Roman" w:eastAsia="Times New Roman" w:hAnsi="Times New Roman" w:cs="Times New Roman"/>
          <w:sz w:val="24"/>
          <w:szCs w:val="24"/>
        </w:rPr>
        <w:t xml:space="preserve">Environmental contaminants in the form of persistent organic pollutants pose an additional area of increased concern for polar bears. Polar bears, as </w:t>
      </w:r>
      <w:r w:rsidR="00842563">
        <w:rPr>
          <w:rFonts w:ascii="Times New Roman" w:eastAsia="Times New Roman" w:hAnsi="Times New Roman" w:cs="Times New Roman"/>
          <w:sz w:val="24"/>
          <w:szCs w:val="24"/>
        </w:rPr>
        <w:t>a top</w:t>
      </w:r>
      <w:r w:rsidRPr="00C92743">
        <w:rPr>
          <w:rFonts w:ascii="Times New Roman" w:eastAsia="Times New Roman" w:hAnsi="Times New Roman" w:cs="Times New Roman"/>
          <w:sz w:val="24"/>
          <w:szCs w:val="24"/>
        </w:rPr>
        <w:t xml:space="preserve"> predator </w:t>
      </w:r>
      <w:r w:rsidR="00842563">
        <w:rPr>
          <w:rFonts w:ascii="Times New Roman" w:eastAsia="Times New Roman" w:hAnsi="Times New Roman" w:cs="Times New Roman"/>
          <w:sz w:val="24"/>
          <w:szCs w:val="24"/>
        </w:rPr>
        <w:t>who accumulate harmful</w:t>
      </w:r>
      <w:r w:rsidRPr="00C92743">
        <w:rPr>
          <w:rFonts w:ascii="Times New Roman" w:eastAsia="Times New Roman" w:hAnsi="Times New Roman" w:cs="Times New Roman"/>
          <w:sz w:val="24"/>
          <w:szCs w:val="24"/>
        </w:rPr>
        <w:t xml:space="preserve"> compounds, are a perfect candidate for studies in evaluating trends. We now know that polar bears inhabiting certain areas of the Arctic exhibit </w:t>
      </w:r>
      <w:r w:rsidR="00842563">
        <w:rPr>
          <w:rFonts w:ascii="Times New Roman" w:eastAsia="Times New Roman" w:hAnsi="Times New Roman" w:cs="Times New Roman"/>
          <w:sz w:val="24"/>
          <w:szCs w:val="24"/>
        </w:rPr>
        <w:t>high</w:t>
      </w:r>
      <w:r w:rsidRPr="00C92743">
        <w:rPr>
          <w:rFonts w:ascii="Times New Roman" w:eastAsia="Times New Roman" w:hAnsi="Times New Roman" w:cs="Times New Roman"/>
          <w:sz w:val="24"/>
          <w:szCs w:val="24"/>
        </w:rPr>
        <w:t xml:space="preserve"> levels of organochlorines, particularly PCB's (poly chlorinated biphenyls) while populations inhabiting other areas have lower levels. Laboratory experiments involving elevated levels of organochlorines have been associated with a range of effects including neurological, reproductive, and immunological changes. </w:t>
      </w:r>
    </w:p>
    <w:p w:rsidR="00F34705" w:rsidRDefault="00F34705" w:rsidP="00C9274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Current Polar Bear Population Status</w:t>
      </w:r>
    </w:p>
    <w:p w:rsidR="00F34705" w:rsidRPr="00F34705" w:rsidRDefault="00F34705" w:rsidP="00C9274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in the table below come from a number of studies.  Some of the studies used mark-recapture techniques, and then estimated the population sizes, while others used aerial surveys.  Some studies also looked at the body conditions of the bears that they surveyed, and were thus able to say something about the health of the animals.  For example, the population of Western Hudson Bay has been declining, with fewer cubs surviving, and the body condition of adults deteriorating, based on a mark-recapture study and information about bears killed by Inuit hunters.  Researchers in Western Hudson Bay found that in years when the sea ice melted earlier in the spring, the survival of cubs, young, and old bears was poor.  </w:t>
      </w:r>
    </w:p>
    <w:tbl>
      <w:tblPr>
        <w:tblStyle w:val="TableGrid"/>
        <w:tblW w:w="0" w:type="auto"/>
        <w:tblLook w:val="04A0"/>
      </w:tblPr>
      <w:tblGrid>
        <w:gridCol w:w="2538"/>
        <w:gridCol w:w="1710"/>
        <w:gridCol w:w="1612"/>
      </w:tblGrid>
      <w:tr w:rsidR="00EC51AB" w:rsidTr="00880799">
        <w:tc>
          <w:tcPr>
            <w:tcW w:w="2538" w:type="dxa"/>
            <w:shd w:val="clear" w:color="auto" w:fill="A6A6A6" w:themeFill="background1" w:themeFillShade="A6"/>
          </w:tcPr>
          <w:p w:rsidR="00EC51AB" w:rsidRDefault="00EC51AB">
            <w:r>
              <w:br w:type="page"/>
              <w:t>Population</w:t>
            </w:r>
          </w:p>
        </w:tc>
        <w:tc>
          <w:tcPr>
            <w:tcW w:w="1710" w:type="dxa"/>
            <w:shd w:val="clear" w:color="auto" w:fill="A6A6A6" w:themeFill="background1" w:themeFillShade="A6"/>
          </w:tcPr>
          <w:p w:rsidR="00EC51AB" w:rsidRDefault="00EC51AB">
            <w:r>
              <w:t>Population Size</w:t>
            </w:r>
          </w:p>
        </w:tc>
        <w:tc>
          <w:tcPr>
            <w:tcW w:w="1612" w:type="dxa"/>
            <w:shd w:val="clear" w:color="auto" w:fill="A6A6A6" w:themeFill="background1" w:themeFillShade="A6"/>
          </w:tcPr>
          <w:p w:rsidR="00EC51AB" w:rsidRDefault="00EC51AB">
            <w:r>
              <w:t>Current Trend</w:t>
            </w:r>
          </w:p>
        </w:tc>
      </w:tr>
      <w:tr w:rsidR="00EC51AB" w:rsidTr="00880799">
        <w:tc>
          <w:tcPr>
            <w:tcW w:w="2538" w:type="dxa"/>
            <w:tcBorders>
              <w:bottom w:val="single" w:sz="4" w:space="0" w:color="auto"/>
            </w:tcBorders>
          </w:tcPr>
          <w:p w:rsidR="00EC51AB" w:rsidRDefault="00EC51AB">
            <w:r>
              <w:t>Arctic Basin</w:t>
            </w:r>
          </w:p>
        </w:tc>
        <w:tc>
          <w:tcPr>
            <w:tcW w:w="1710" w:type="dxa"/>
            <w:tcBorders>
              <w:bottom w:val="single" w:sz="4" w:space="0" w:color="auto"/>
            </w:tcBorders>
          </w:tcPr>
          <w:p w:rsidR="00EC51AB" w:rsidRDefault="00EC51AB">
            <w:r>
              <w:t>Unknown</w:t>
            </w:r>
          </w:p>
        </w:tc>
        <w:tc>
          <w:tcPr>
            <w:tcW w:w="1612" w:type="dxa"/>
            <w:tcBorders>
              <w:bottom w:val="single" w:sz="4" w:space="0" w:color="auto"/>
            </w:tcBorders>
          </w:tcPr>
          <w:p w:rsidR="00EC51AB" w:rsidRDefault="00EC51AB">
            <w:r>
              <w:t>Unknown</w:t>
            </w:r>
          </w:p>
        </w:tc>
      </w:tr>
      <w:tr w:rsidR="00EC51AB" w:rsidTr="00880799">
        <w:tc>
          <w:tcPr>
            <w:tcW w:w="2538" w:type="dxa"/>
            <w:shd w:val="clear" w:color="auto" w:fill="D9D9D9" w:themeFill="background1" w:themeFillShade="D9"/>
          </w:tcPr>
          <w:p w:rsidR="00EC51AB" w:rsidRDefault="00EC51AB">
            <w:r>
              <w:t>Baffin Bay</w:t>
            </w:r>
          </w:p>
        </w:tc>
        <w:tc>
          <w:tcPr>
            <w:tcW w:w="1710" w:type="dxa"/>
            <w:shd w:val="clear" w:color="auto" w:fill="D9D9D9" w:themeFill="background1" w:themeFillShade="D9"/>
          </w:tcPr>
          <w:p w:rsidR="00EC51AB" w:rsidRDefault="00EC51AB">
            <w:r>
              <w:t>2,074</w:t>
            </w:r>
          </w:p>
        </w:tc>
        <w:tc>
          <w:tcPr>
            <w:tcW w:w="1612" w:type="dxa"/>
            <w:shd w:val="clear" w:color="auto" w:fill="D9D9D9" w:themeFill="background1" w:themeFillShade="D9"/>
          </w:tcPr>
          <w:p w:rsidR="00EC51AB" w:rsidRDefault="00EC51AB">
            <w:r>
              <w:t>Declining</w:t>
            </w:r>
          </w:p>
        </w:tc>
      </w:tr>
      <w:tr w:rsidR="00EC51AB" w:rsidTr="00880799">
        <w:tc>
          <w:tcPr>
            <w:tcW w:w="2538" w:type="dxa"/>
            <w:tcBorders>
              <w:bottom w:val="single" w:sz="4" w:space="0" w:color="auto"/>
            </w:tcBorders>
          </w:tcPr>
          <w:p w:rsidR="00EC51AB" w:rsidRDefault="00EC51AB">
            <w:r>
              <w:t>Barents Sea</w:t>
            </w:r>
          </w:p>
        </w:tc>
        <w:tc>
          <w:tcPr>
            <w:tcW w:w="1710" w:type="dxa"/>
            <w:tcBorders>
              <w:bottom w:val="single" w:sz="4" w:space="0" w:color="auto"/>
            </w:tcBorders>
          </w:tcPr>
          <w:p w:rsidR="00EC51AB" w:rsidRDefault="00EC51AB">
            <w:r>
              <w:t>2,650</w:t>
            </w:r>
          </w:p>
        </w:tc>
        <w:tc>
          <w:tcPr>
            <w:tcW w:w="1612" w:type="dxa"/>
            <w:tcBorders>
              <w:bottom w:val="single" w:sz="4" w:space="0" w:color="auto"/>
            </w:tcBorders>
          </w:tcPr>
          <w:p w:rsidR="00EC51AB" w:rsidRDefault="00EC51AB">
            <w:r>
              <w:t>Unknown</w:t>
            </w:r>
          </w:p>
        </w:tc>
      </w:tr>
      <w:tr w:rsidR="00EC51AB" w:rsidTr="00880799">
        <w:tc>
          <w:tcPr>
            <w:tcW w:w="2538" w:type="dxa"/>
            <w:tcBorders>
              <w:bottom w:val="single" w:sz="4" w:space="0" w:color="auto"/>
            </w:tcBorders>
            <w:shd w:val="clear" w:color="auto" w:fill="D9D9D9" w:themeFill="background1" w:themeFillShade="D9"/>
          </w:tcPr>
          <w:p w:rsidR="00EC51AB" w:rsidRDefault="00EC51AB" w:rsidP="008E3C57">
            <w:r>
              <w:t>Chukchi Sea</w:t>
            </w:r>
          </w:p>
        </w:tc>
        <w:tc>
          <w:tcPr>
            <w:tcW w:w="1710" w:type="dxa"/>
            <w:tcBorders>
              <w:bottom w:val="single" w:sz="4" w:space="0" w:color="auto"/>
            </w:tcBorders>
            <w:shd w:val="clear" w:color="auto" w:fill="D9D9D9" w:themeFill="background1" w:themeFillShade="D9"/>
          </w:tcPr>
          <w:p w:rsidR="00EC51AB" w:rsidRDefault="00EC51AB" w:rsidP="008E3C57">
            <w:r>
              <w:t>Unknown</w:t>
            </w:r>
          </w:p>
        </w:tc>
        <w:tc>
          <w:tcPr>
            <w:tcW w:w="1612" w:type="dxa"/>
            <w:tcBorders>
              <w:bottom w:val="single" w:sz="4" w:space="0" w:color="auto"/>
            </w:tcBorders>
            <w:shd w:val="clear" w:color="auto" w:fill="D9D9D9" w:themeFill="background1" w:themeFillShade="D9"/>
          </w:tcPr>
          <w:p w:rsidR="00EC51AB" w:rsidRDefault="00EC51AB" w:rsidP="008E3C57">
            <w:r>
              <w:t>Declining</w:t>
            </w:r>
          </w:p>
        </w:tc>
      </w:tr>
      <w:tr w:rsidR="00EC51AB" w:rsidTr="00880799">
        <w:tc>
          <w:tcPr>
            <w:tcW w:w="2538" w:type="dxa"/>
            <w:shd w:val="clear" w:color="auto" w:fill="D9D9D9" w:themeFill="background1" w:themeFillShade="D9"/>
          </w:tcPr>
          <w:p w:rsidR="00EC51AB" w:rsidRDefault="00EC51AB" w:rsidP="008E3C57">
            <w:r>
              <w:t>Davis Strait</w:t>
            </w:r>
          </w:p>
        </w:tc>
        <w:tc>
          <w:tcPr>
            <w:tcW w:w="1710" w:type="dxa"/>
            <w:shd w:val="clear" w:color="auto" w:fill="D9D9D9" w:themeFill="background1" w:themeFillShade="D9"/>
          </w:tcPr>
          <w:p w:rsidR="00EC51AB" w:rsidRDefault="00EC51AB" w:rsidP="008E3C57">
            <w:r>
              <w:t>2,142</w:t>
            </w:r>
          </w:p>
        </w:tc>
        <w:tc>
          <w:tcPr>
            <w:tcW w:w="1612" w:type="dxa"/>
            <w:shd w:val="clear" w:color="auto" w:fill="D9D9D9" w:themeFill="background1" w:themeFillShade="D9"/>
          </w:tcPr>
          <w:p w:rsidR="00EC51AB" w:rsidRDefault="00EC51AB" w:rsidP="008E3C57">
            <w:r>
              <w:t>Declining</w:t>
            </w:r>
          </w:p>
        </w:tc>
      </w:tr>
      <w:tr w:rsidR="00EC51AB" w:rsidTr="00846279">
        <w:tc>
          <w:tcPr>
            <w:tcW w:w="2538" w:type="dxa"/>
          </w:tcPr>
          <w:p w:rsidR="00EC51AB" w:rsidRDefault="00EC51AB" w:rsidP="008E3C57">
            <w:r>
              <w:t>East Greenland</w:t>
            </w:r>
          </w:p>
        </w:tc>
        <w:tc>
          <w:tcPr>
            <w:tcW w:w="1710" w:type="dxa"/>
          </w:tcPr>
          <w:p w:rsidR="00EC51AB" w:rsidRDefault="00EC51AB" w:rsidP="008E3C57">
            <w:r>
              <w:t>Unknown</w:t>
            </w:r>
          </w:p>
        </w:tc>
        <w:tc>
          <w:tcPr>
            <w:tcW w:w="1612" w:type="dxa"/>
          </w:tcPr>
          <w:p w:rsidR="00EC51AB" w:rsidRPr="00846279" w:rsidRDefault="00EC51AB" w:rsidP="008E3C57">
            <w:pPr>
              <w:rPr>
                <w:b/>
              </w:rPr>
            </w:pPr>
            <w:r>
              <w:t>Unknown</w:t>
            </w:r>
          </w:p>
        </w:tc>
      </w:tr>
      <w:tr w:rsidR="00EC51AB" w:rsidTr="00846279">
        <w:tc>
          <w:tcPr>
            <w:tcW w:w="2538" w:type="dxa"/>
          </w:tcPr>
          <w:p w:rsidR="00EC51AB" w:rsidRDefault="00EC51AB" w:rsidP="008E3C57">
            <w:r>
              <w:t>Foxe Basin</w:t>
            </w:r>
          </w:p>
        </w:tc>
        <w:tc>
          <w:tcPr>
            <w:tcW w:w="1710" w:type="dxa"/>
          </w:tcPr>
          <w:p w:rsidR="00EC51AB" w:rsidRDefault="00EC51AB" w:rsidP="008E3C57">
            <w:r>
              <w:t>2,197</w:t>
            </w:r>
          </w:p>
        </w:tc>
        <w:tc>
          <w:tcPr>
            <w:tcW w:w="1612" w:type="dxa"/>
          </w:tcPr>
          <w:p w:rsidR="00EC51AB" w:rsidRDefault="00EC51AB" w:rsidP="008E3C57">
            <w:r>
              <w:t>Unknown</w:t>
            </w:r>
          </w:p>
        </w:tc>
      </w:tr>
      <w:tr w:rsidR="00EC51AB" w:rsidTr="00880799">
        <w:tc>
          <w:tcPr>
            <w:tcW w:w="2538" w:type="dxa"/>
            <w:tcBorders>
              <w:bottom w:val="single" w:sz="4" w:space="0" w:color="auto"/>
            </w:tcBorders>
          </w:tcPr>
          <w:p w:rsidR="00EC51AB" w:rsidRDefault="00EC51AB" w:rsidP="008E3C57">
            <w:r>
              <w:t>Gulf of Boothia</w:t>
            </w:r>
          </w:p>
        </w:tc>
        <w:tc>
          <w:tcPr>
            <w:tcW w:w="1710" w:type="dxa"/>
            <w:tcBorders>
              <w:bottom w:val="single" w:sz="4" w:space="0" w:color="auto"/>
            </w:tcBorders>
          </w:tcPr>
          <w:p w:rsidR="00EC51AB" w:rsidRDefault="00EC51AB" w:rsidP="008E3C57">
            <w:r>
              <w:t>1,592</w:t>
            </w:r>
          </w:p>
        </w:tc>
        <w:tc>
          <w:tcPr>
            <w:tcW w:w="1612" w:type="dxa"/>
            <w:tcBorders>
              <w:bottom w:val="single" w:sz="4" w:space="0" w:color="auto"/>
            </w:tcBorders>
          </w:tcPr>
          <w:p w:rsidR="00EC51AB" w:rsidRDefault="00EC51AB" w:rsidP="008E3C57">
            <w:r>
              <w:t>Stable</w:t>
            </w:r>
          </w:p>
        </w:tc>
      </w:tr>
      <w:tr w:rsidR="00EC51AB" w:rsidTr="00880799">
        <w:tc>
          <w:tcPr>
            <w:tcW w:w="2538" w:type="dxa"/>
            <w:shd w:val="clear" w:color="auto" w:fill="D9D9D9" w:themeFill="background1" w:themeFillShade="D9"/>
          </w:tcPr>
          <w:p w:rsidR="00EC51AB" w:rsidRDefault="00EC51AB" w:rsidP="008E3C57">
            <w:r>
              <w:t>Kane Basin</w:t>
            </w:r>
          </w:p>
        </w:tc>
        <w:tc>
          <w:tcPr>
            <w:tcW w:w="1710" w:type="dxa"/>
            <w:shd w:val="clear" w:color="auto" w:fill="D9D9D9" w:themeFill="background1" w:themeFillShade="D9"/>
          </w:tcPr>
          <w:p w:rsidR="00EC51AB" w:rsidRDefault="00EC51AB" w:rsidP="008E3C57">
            <w:r>
              <w:t>164</w:t>
            </w:r>
          </w:p>
        </w:tc>
        <w:tc>
          <w:tcPr>
            <w:tcW w:w="1612" w:type="dxa"/>
            <w:shd w:val="clear" w:color="auto" w:fill="D9D9D9" w:themeFill="background1" w:themeFillShade="D9"/>
          </w:tcPr>
          <w:p w:rsidR="00EC51AB" w:rsidRDefault="00EC51AB" w:rsidP="008E3C57">
            <w:r>
              <w:t>Declining</w:t>
            </w:r>
          </w:p>
        </w:tc>
      </w:tr>
      <w:tr w:rsidR="00EC51AB" w:rsidTr="00880799">
        <w:tc>
          <w:tcPr>
            <w:tcW w:w="2538" w:type="dxa"/>
            <w:tcBorders>
              <w:bottom w:val="single" w:sz="4" w:space="0" w:color="auto"/>
            </w:tcBorders>
          </w:tcPr>
          <w:p w:rsidR="00EC51AB" w:rsidRDefault="00EC51AB" w:rsidP="008E3C57">
            <w:r>
              <w:t>Kara Sea</w:t>
            </w:r>
          </w:p>
        </w:tc>
        <w:tc>
          <w:tcPr>
            <w:tcW w:w="1710" w:type="dxa"/>
            <w:tcBorders>
              <w:bottom w:val="single" w:sz="4" w:space="0" w:color="auto"/>
            </w:tcBorders>
          </w:tcPr>
          <w:p w:rsidR="00EC51AB" w:rsidRDefault="00EC51AB" w:rsidP="008E3C57">
            <w:r>
              <w:t>Unknown</w:t>
            </w:r>
          </w:p>
        </w:tc>
        <w:tc>
          <w:tcPr>
            <w:tcW w:w="1612" w:type="dxa"/>
            <w:tcBorders>
              <w:bottom w:val="single" w:sz="4" w:space="0" w:color="auto"/>
            </w:tcBorders>
          </w:tcPr>
          <w:p w:rsidR="00EC51AB" w:rsidRDefault="00EC51AB" w:rsidP="008E3C57">
            <w:r>
              <w:t>Unknown</w:t>
            </w:r>
          </w:p>
        </w:tc>
      </w:tr>
      <w:tr w:rsidR="00EC51AB" w:rsidTr="00880799">
        <w:tc>
          <w:tcPr>
            <w:tcW w:w="2538" w:type="dxa"/>
            <w:shd w:val="clear" w:color="auto" w:fill="D9D9D9" w:themeFill="background1" w:themeFillShade="D9"/>
          </w:tcPr>
          <w:p w:rsidR="00EC51AB" w:rsidRDefault="00EC51AB" w:rsidP="008E3C57">
            <w:r>
              <w:t>Lancaster Sound</w:t>
            </w:r>
          </w:p>
        </w:tc>
        <w:tc>
          <w:tcPr>
            <w:tcW w:w="1710" w:type="dxa"/>
            <w:shd w:val="clear" w:color="auto" w:fill="D9D9D9" w:themeFill="background1" w:themeFillShade="D9"/>
          </w:tcPr>
          <w:p w:rsidR="00EC51AB" w:rsidRDefault="00EC51AB" w:rsidP="008E3C57">
            <w:r>
              <w:t>2,541</w:t>
            </w:r>
          </w:p>
        </w:tc>
        <w:tc>
          <w:tcPr>
            <w:tcW w:w="1612" w:type="dxa"/>
            <w:shd w:val="clear" w:color="auto" w:fill="D9D9D9" w:themeFill="background1" w:themeFillShade="D9"/>
          </w:tcPr>
          <w:p w:rsidR="00EC51AB" w:rsidRDefault="00EC51AB" w:rsidP="008E3C57">
            <w:r>
              <w:t>Declining</w:t>
            </w:r>
          </w:p>
        </w:tc>
      </w:tr>
      <w:tr w:rsidR="00EC51AB" w:rsidTr="00846279">
        <w:tc>
          <w:tcPr>
            <w:tcW w:w="2538" w:type="dxa"/>
          </w:tcPr>
          <w:p w:rsidR="00EC51AB" w:rsidRDefault="00EC51AB" w:rsidP="008E3C57">
            <w:r>
              <w:t>Laptev Sea</w:t>
            </w:r>
          </w:p>
        </w:tc>
        <w:tc>
          <w:tcPr>
            <w:tcW w:w="1710" w:type="dxa"/>
          </w:tcPr>
          <w:p w:rsidR="00EC51AB" w:rsidRDefault="00EC51AB" w:rsidP="008E3C57">
            <w:r>
              <w:t>800-1,200</w:t>
            </w:r>
          </w:p>
        </w:tc>
        <w:tc>
          <w:tcPr>
            <w:tcW w:w="1612" w:type="dxa"/>
          </w:tcPr>
          <w:p w:rsidR="00EC51AB" w:rsidRDefault="00EC51AB" w:rsidP="008E3C57">
            <w:r>
              <w:t>Unknown</w:t>
            </w:r>
          </w:p>
        </w:tc>
      </w:tr>
      <w:tr w:rsidR="00EC51AB" w:rsidTr="00880799">
        <w:tc>
          <w:tcPr>
            <w:tcW w:w="2538" w:type="dxa"/>
            <w:tcBorders>
              <w:bottom w:val="single" w:sz="4" w:space="0" w:color="auto"/>
            </w:tcBorders>
          </w:tcPr>
          <w:p w:rsidR="00EC51AB" w:rsidRDefault="00EC51AB" w:rsidP="008E3C57">
            <w:proofErr w:type="spellStart"/>
            <w:r>
              <w:t>M’Clintock</w:t>
            </w:r>
            <w:proofErr w:type="spellEnd"/>
            <w:r>
              <w:t xml:space="preserve"> Channel</w:t>
            </w:r>
          </w:p>
        </w:tc>
        <w:tc>
          <w:tcPr>
            <w:tcW w:w="1710" w:type="dxa"/>
            <w:tcBorders>
              <w:bottom w:val="single" w:sz="4" w:space="0" w:color="auto"/>
            </w:tcBorders>
          </w:tcPr>
          <w:p w:rsidR="00EC51AB" w:rsidRDefault="00EC51AB" w:rsidP="008E3C57">
            <w:r>
              <w:t>284</w:t>
            </w:r>
          </w:p>
        </w:tc>
        <w:tc>
          <w:tcPr>
            <w:tcW w:w="1612" w:type="dxa"/>
            <w:tcBorders>
              <w:bottom w:val="single" w:sz="4" w:space="0" w:color="auto"/>
            </w:tcBorders>
          </w:tcPr>
          <w:p w:rsidR="00EC51AB" w:rsidRDefault="00EC51AB" w:rsidP="008E3C57">
            <w:r>
              <w:t>Increasing</w:t>
            </w:r>
          </w:p>
        </w:tc>
      </w:tr>
      <w:tr w:rsidR="00EC51AB" w:rsidTr="00880799">
        <w:tc>
          <w:tcPr>
            <w:tcW w:w="2538" w:type="dxa"/>
            <w:tcBorders>
              <w:bottom w:val="single" w:sz="4" w:space="0" w:color="auto"/>
            </w:tcBorders>
            <w:shd w:val="clear" w:color="auto" w:fill="FFFFFF" w:themeFill="background1"/>
          </w:tcPr>
          <w:p w:rsidR="00EC51AB" w:rsidRDefault="00EC51AB" w:rsidP="008E3C57">
            <w:r>
              <w:t>Northern Beaufort Sea</w:t>
            </w:r>
          </w:p>
        </w:tc>
        <w:tc>
          <w:tcPr>
            <w:tcW w:w="1710" w:type="dxa"/>
            <w:tcBorders>
              <w:bottom w:val="single" w:sz="4" w:space="0" w:color="auto"/>
            </w:tcBorders>
            <w:shd w:val="clear" w:color="auto" w:fill="FFFFFF" w:themeFill="background1"/>
          </w:tcPr>
          <w:p w:rsidR="00EC51AB" w:rsidRDefault="00EC51AB" w:rsidP="008E3C57">
            <w:r>
              <w:t>1,202</w:t>
            </w:r>
          </w:p>
        </w:tc>
        <w:tc>
          <w:tcPr>
            <w:tcW w:w="1612" w:type="dxa"/>
            <w:tcBorders>
              <w:bottom w:val="single" w:sz="4" w:space="0" w:color="auto"/>
            </w:tcBorders>
            <w:shd w:val="clear" w:color="auto" w:fill="FFFFFF" w:themeFill="background1"/>
          </w:tcPr>
          <w:p w:rsidR="00EC51AB" w:rsidRDefault="00EC51AB" w:rsidP="008E3C57">
            <w:r>
              <w:t>Stable</w:t>
            </w:r>
          </w:p>
        </w:tc>
      </w:tr>
      <w:tr w:rsidR="00EC51AB" w:rsidTr="00880799">
        <w:tc>
          <w:tcPr>
            <w:tcW w:w="2538" w:type="dxa"/>
            <w:tcBorders>
              <w:bottom w:val="single" w:sz="4" w:space="0" w:color="auto"/>
            </w:tcBorders>
            <w:shd w:val="clear" w:color="auto" w:fill="D9D9D9" w:themeFill="background1" w:themeFillShade="D9"/>
          </w:tcPr>
          <w:p w:rsidR="00EC51AB" w:rsidRDefault="00EC51AB" w:rsidP="008E3C57">
            <w:r>
              <w:t>Norwegian Bay</w:t>
            </w:r>
          </w:p>
        </w:tc>
        <w:tc>
          <w:tcPr>
            <w:tcW w:w="1710" w:type="dxa"/>
            <w:tcBorders>
              <w:bottom w:val="single" w:sz="4" w:space="0" w:color="auto"/>
            </w:tcBorders>
            <w:shd w:val="clear" w:color="auto" w:fill="D9D9D9" w:themeFill="background1" w:themeFillShade="D9"/>
          </w:tcPr>
          <w:p w:rsidR="00EC51AB" w:rsidRDefault="00EC51AB" w:rsidP="008E3C57">
            <w:r>
              <w:t>190</w:t>
            </w:r>
          </w:p>
        </w:tc>
        <w:tc>
          <w:tcPr>
            <w:tcW w:w="1612" w:type="dxa"/>
            <w:tcBorders>
              <w:bottom w:val="single" w:sz="4" w:space="0" w:color="auto"/>
            </w:tcBorders>
            <w:shd w:val="clear" w:color="auto" w:fill="D9D9D9" w:themeFill="background1" w:themeFillShade="D9"/>
          </w:tcPr>
          <w:p w:rsidR="00EC51AB" w:rsidRDefault="00EC51AB" w:rsidP="008E3C57">
            <w:r>
              <w:t>Declining</w:t>
            </w:r>
          </w:p>
        </w:tc>
      </w:tr>
      <w:tr w:rsidR="00EC51AB" w:rsidTr="00880799">
        <w:tc>
          <w:tcPr>
            <w:tcW w:w="2538" w:type="dxa"/>
            <w:shd w:val="clear" w:color="auto" w:fill="D9D9D9" w:themeFill="background1" w:themeFillShade="D9"/>
          </w:tcPr>
          <w:p w:rsidR="00EC51AB" w:rsidRDefault="00EC51AB" w:rsidP="008E3C57">
            <w:r>
              <w:t>Southern Beaufort Sea</w:t>
            </w:r>
          </w:p>
        </w:tc>
        <w:tc>
          <w:tcPr>
            <w:tcW w:w="1710" w:type="dxa"/>
            <w:shd w:val="clear" w:color="auto" w:fill="D9D9D9" w:themeFill="background1" w:themeFillShade="D9"/>
          </w:tcPr>
          <w:p w:rsidR="00EC51AB" w:rsidRDefault="00EC51AB" w:rsidP="008E3C57">
            <w:r>
              <w:t>1,526</w:t>
            </w:r>
          </w:p>
        </w:tc>
        <w:tc>
          <w:tcPr>
            <w:tcW w:w="1612" w:type="dxa"/>
            <w:shd w:val="clear" w:color="auto" w:fill="D9D9D9" w:themeFill="background1" w:themeFillShade="D9"/>
          </w:tcPr>
          <w:p w:rsidR="00EC51AB" w:rsidRDefault="00EC51AB" w:rsidP="008E3C57">
            <w:r>
              <w:t>Declining</w:t>
            </w:r>
          </w:p>
        </w:tc>
      </w:tr>
      <w:tr w:rsidR="00EC51AB" w:rsidTr="00846279">
        <w:tc>
          <w:tcPr>
            <w:tcW w:w="2538" w:type="dxa"/>
          </w:tcPr>
          <w:p w:rsidR="00EC51AB" w:rsidRDefault="00EC51AB">
            <w:r>
              <w:t>Southern Hudson Bay</w:t>
            </w:r>
          </w:p>
        </w:tc>
        <w:tc>
          <w:tcPr>
            <w:tcW w:w="1710" w:type="dxa"/>
          </w:tcPr>
          <w:p w:rsidR="00EC51AB" w:rsidRDefault="00EC51AB">
            <w:r>
              <w:t>900-1,000</w:t>
            </w:r>
          </w:p>
        </w:tc>
        <w:tc>
          <w:tcPr>
            <w:tcW w:w="1612" w:type="dxa"/>
          </w:tcPr>
          <w:p w:rsidR="00EC51AB" w:rsidRDefault="00EC51AB">
            <w:r>
              <w:t>Stable</w:t>
            </w:r>
          </w:p>
        </w:tc>
      </w:tr>
      <w:tr w:rsidR="00EC51AB" w:rsidTr="00880799">
        <w:tc>
          <w:tcPr>
            <w:tcW w:w="2538" w:type="dxa"/>
            <w:tcBorders>
              <w:bottom w:val="single" w:sz="4" w:space="0" w:color="auto"/>
            </w:tcBorders>
          </w:tcPr>
          <w:p w:rsidR="00EC51AB" w:rsidRDefault="00EC51AB">
            <w:r>
              <w:t>Viscount Melville Sound</w:t>
            </w:r>
          </w:p>
        </w:tc>
        <w:tc>
          <w:tcPr>
            <w:tcW w:w="1710" w:type="dxa"/>
            <w:tcBorders>
              <w:bottom w:val="single" w:sz="4" w:space="0" w:color="auto"/>
            </w:tcBorders>
          </w:tcPr>
          <w:p w:rsidR="00EC51AB" w:rsidRDefault="00EC51AB">
            <w:r>
              <w:t>161</w:t>
            </w:r>
          </w:p>
        </w:tc>
        <w:tc>
          <w:tcPr>
            <w:tcW w:w="1612" w:type="dxa"/>
            <w:tcBorders>
              <w:bottom w:val="single" w:sz="4" w:space="0" w:color="auto"/>
            </w:tcBorders>
          </w:tcPr>
          <w:p w:rsidR="00EC51AB" w:rsidRDefault="00EC51AB">
            <w:r>
              <w:t>Unknown</w:t>
            </w:r>
          </w:p>
        </w:tc>
      </w:tr>
      <w:tr w:rsidR="00EC51AB" w:rsidTr="00880799">
        <w:tc>
          <w:tcPr>
            <w:tcW w:w="2538" w:type="dxa"/>
            <w:shd w:val="clear" w:color="auto" w:fill="D9D9D9" w:themeFill="background1" w:themeFillShade="D9"/>
          </w:tcPr>
          <w:p w:rsidR="00EC51AB" w:rsidRDefault="00EC51AB">
            <w:r>
              <w:t>Western Hudson Bay</w:t>
            </w:r>
          </w:p>
        </w:tc>
        <w:tc>
          <w:tcPr>
            <w:tcW w:w="1710" w:type="dxa"/>
            <w:shd w:val="clear" w:color="auto" w:fill="D9D9D9" w:themeFill="background1" w:themeFillShade="D9"/>
          </w:tcPr>
          <w:p w:rsidR="00EC51AB" w:rsidRDefault="00EC51AB">
            <w:r>
              <w:t>935</w:t>
            </w:r>
          </w:p>
        </w:tc>
        <w:tc>
          <w:tcPr>
            <w:tcW w:w="1612" w:type="dxa"/>
            <w:shd w:val="clear" w:color="auto" w:fill="D9D9D9" w:themeFill="background1" w:themeFillShade="D9"/>
          </w:tcPr>
          <w:p w:rsidR="00EC51AB" w:rsidRDefault="00EC51AB">
            <w:r>
              <w:t>Declining</w:t>
            </w:r>
          </w:p>
        </w:tc>
      </w:tr>
    </w:tbl>
    <w:p w:rsidR="00D64468" w:rsidRDefault="00D64468">
      <w:pPr>
        <w:rPr>
          <w:b/>
          <w:i/>
        </w:rPr>
      </w:pPr>
    </w:p>
    <w:p w:rsidR="00846279" w:rsidRPr="00DD5163" w:rsidRDefault="00F34705">
      <w:pPr>
        <w:rPr>
          <w:i/>
        </w:rPr>
      </w:pPr>
      <w:r w:rsidRPr="00DD5163">
        <w:rPr>
          <w:b/>
          <w:i/>
        </w:rPr>
        <w:t xml:space="preserve">Source: </w:t>
      </w:r>
      <w:r w:rsidR="00E6202D" w:rsidRPr="00DD5163">
        <w:rPr>
          <w:i/>
        </w:rPr>
        <w:t xml:space="preserve">Adapted from </w:t>
      </w:r>
      <w:r w:rsidRPr="00DD5163">
        <w:rPr>
          <w:i/>
        </w:rPr>
        <w:t xml:space="preserve">Polar Bear Specialist Group, IUCN Species Survival Commission website </w:t>
      </w:r>
    </w:p>
    <w:sectPr w:rsidR="00846279" w:rsidRPr="00DD5163" w:rsidSect="000C62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F3D06"/>
    <w:multiLevelType w:val="multilevel"/>
    <w:tmpl w:val="7A8A6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92743"/>
    <w:rsid w:val="00076190"/>
    <w:rsid w:val="000C62B8"/>
    <w:rsid w:val="00113890"/>
    <w:rsid w:val="002F74C8"/>
    <w:rsid w:val="003C5306"/>
    <w:rsid w:val="00556080"/>
    <w:rsid w:val="005F2443"/>
    <w:rsid w:val="00842563"/>
    <w:rsid w:val="00846279"/>
    <w:rsid w:val="0086367B"/>
    <w:rsid w:val="00880799"/>
    <w:rsid w:val="0099106E"/>
    <w:rsid w:val="009A1353"/>
    <w:rsid w:val="00A04A0B"/>
    <w:rsid w:val="00C92743"/>
    <w:rsid w:val="00C97FEB"/>
    <w:rsid w:val="00D64468"/>
    <w:rsid w:val="00DD5163"/>
    <w:rsid w:val="00E425E3"/>
    <w:rsid w:val="00E6202D"/>
    <w:rsid w:val="00EC51AB"/>
    <w:rsid w:val="00F166F5"/>
    <w:rsid w:val="00F34705"/>
    <w:rsid w:val="00F80920"/>
    <w:rsid w:val="00FA1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B8"/>
  </w:style>
  <w:style w:type="paragraph" w:styleId="Heading1">
    <w:name w:val="heading 1"/>
    <w:basedOn w:val="Normal"/>
    <w:link w:val="Heading1Char"/>
    <w:uiPriority w:val="9"/>
    <w:qFormat/>
    <w:rsid w:val="00C92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0761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61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74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927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743"/>
    <w:rPr>
      <w:color w:val="0000FF"/>
      <w:u w:val="single"/>
    </w:rPr>
  </w:style>
  <w:style w:type="paragraph" w:styleId="BalloonText">
    <w:name w:val="Balloon Text"/>
    <w:basedOn w:val="Normal"/>
    <w:link w:val="BalloonTextChar"/>
    <w:uiPriority w:val="99"/>
    <w:semiHidden/>
    <w:unhideWhenUsed/>
    <w:rsid w:val="00C92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43"/>
    <w:rPr>
      <w:rFonts w:ascii="Tahoma" w:hAnsi="Tahoma" w:cs="Tahoma"/>
      <w:sz w:val="16"/>
      <w:szCs w:val="16"/>
    </w:rPr>
  </w:style>
  <w:style w:type="paragraph" w:customStyle="1" w:styleId="bold">
    <w:name w:val="bold"/>
    <w:basedOn w:val="Normal"/>
    <w:rsid w:val="00C92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
    <w:name w:val="bod"/>
    <w:basedOn w:val="Normal"/>
    <w:rsid w:val="00C927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743"/>
    <w:rPr>
      <w:b/>
      <w:bCs/>
    </w:rPr>
  </w:style>
  <w:style w:type="table" w:styleId="TableGrid">
    <w:name w:val="Table Grid"/>
    <w:basedOn w:val="TableNormal"/>
    <w:uiPriority w:val="59"/>
    <w:rsid w:val="00846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0761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6190"/>
    <w:rPr>
      <w:rFonts w:asciiTheme="majorHAnsi" w:eastAsiaTheme="majorEastAsia" w:hAnsiTheme="majorHAnsi" w:cstheme="majorBidi"/>
      <w:color w:val="243F60" w:themeColor="accent1" w:themeShade="7F"/>
    </w:rPr>
  </w:style>
  <w:style w:type="character" w:customStyle="1" w:styleId="gig-counter-text">
    <w:name w:val="gig-counter-text"/>
    <w:basedOn w:val="DefaultParagraphFont"/>
    <w:rsid w:val="00076190"/>
  </w:style>
  <w:style w:type="character" w:customStyle="1" w:styleId="illustration">
    <w:name w:val="illustration"/>
    <w:basedOn w:val="DefaultParagraphFont"/>
    <w:rsid w:val="00EC51AB"/>
  </w:style>
  <w:style w:type="character" w:customStyle="1" w:styleId="imagetext">
    <w:name w:val="imagetext"/>
    <w:basedOn w:val="DefaultParagraphFont"/>
    <w:rsid w:val="00EC51AB"/>
  </w:style>
  <w:style w:type="character" w:customStyle="1" w:styleId="imagecredit">
    <w:name w:val="imagecredit"/>
    <w:basedOn w:val="DefaultParagraphFont"/>
    <w:rsid w:val="00EC51AB"/>
  </w:style>
  <w:style w:type="paragraph" w:customStyle="1" w:styleId="NoSpacing1">
    <w:name w:val="No Spacing1"/>
    <w:uiPriority w:val="1"/>
    <w:qFormat/>
    <w:rsid w:val="0086367B"/>
    <w:pPr>
      <w:spacing w:after="0" w:line="240" w:lineRule="auto"/>
    </w:pPr>
    <w:rPr>
      <w:rFonts w:ascii="Cambria" w:eastAsia="Times New Roman" w:hAnsi="Cambria"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2B8"/>
  </w:style>
  <w:style w:type="paragraph" w:styleId="Heading1">
    <w:name w:val="heading 1"/>
    <w:basedOn w:val="Normal"/>
    <w:link w:val="Heading1Char"/>
    <w:uiPriority w:val="9"/>
    <w:qFormat/>
    <w:rsid w:val="00C927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0761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7619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74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C927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743"/>
    <w:rPr>
      <w:color w:val="0000FF"/>
      <w:u w:val="single"/>
    </w:rPr>
  </w:style>
  <w:style w:type="paragraph" w:styleId="BalloonText">
    <w:name w:val="Balloon Text"/>
    <w:basedOn w:val="Normal"/>
    <w:link w:val="BalloonTextChar"/>
    <w:uiPriority w:val="99"/>
    <w:semiHidden/>
    <w:unhideWhenUsed/>
    <w:rsid w:val="00C92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743"/>
    <w:rPr>
      <w:rFonts w:ascii="Tahoma" w:hAnsi="Tahoma" w:cs="Tahoma"/>
      <w:sz w:val="16"/>
      <w:szCs w:val="16"/>
    </w:rPr>
  </w:style>
  <w:style w:type="paragraph" w:customStyle="1" w:styleId="bold">
    <w:name w:val="bold"/>
    <w:basedOn w:val="Normal"/>
    <w:rsid w:val="00C92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
    <w:name w:val="bod"/>
    <w:basedOn w:val="Normal"/>
    <w:rsid w:val="00C927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2743"/>
    <w:rPr>
      <w:b/>
      <w:bCs/>
    </w:rPr>
  </w:style>
  <w:style w:type="table" w:styleId="TableGrid">
    <w:name w:val="Table Grid"/>
    <w:basedOn w:val="TableNormal"/>
    <w:uiPriority w:val="59"/>
    <w:rsid w:val="008462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07619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76190"/>
    <w:rPr>
      <w:rFonts w:asciiTheme="majorHAnsi" w:eastAsiaTheme="majorEastAsia" w:hAnsiTheme="majorHAnsi" w:cstheme="majorBidi"/>
      <w:color w:val="243F60" w:themeColor="accent1" w:themeShade="7F"/>
    </w:rPr>
  </w:style>
  <w:style w:type="character" w:customStyle="1" w:styleId="gig-counter-text">
    <w:name w:val="gig-counter-text"/>
    <w:basedOn w:val="DefaultParagraphFont"/>
    <w:rsid w:val="00076190"/>
  </w:style>
</w:styles>
</file>

<file path=word/webSettings.xml><?xml version="1.0" encoding="utf-8"?>
<w:webSettings xmlns:r="http://schemas.openxmlformats.org/officeDocument/2006/relationships" xmlns:w="http://schemas.openxmlformats.org/wordprocessingml/2006/main">
  <w:divs>
    <w:div w:id="44640774">
      <w:bodyDiv w:val="1"/>
      <w:marLeft w:val="0"/>
      <w:marRight w:val="0"/>
      <w:marTop w:val="0"/>
      <w:marBottom w:val="0"/>
      <w:divBdr>
        <w:top w:val="none" w:sz="0" w:space="0" w:color="auto"/>
        <w:left w:val="none" w:sz="0" w:space="0" w:color="auto"/>
        <w:bottom w:val="none" w:sz="0" w:space="0" w:color="auto"/>
        <w:right w:val="none" w:sz="0" w:space="0" w:color="auto"/>
      </w:divBdr>
      <w:divsChild>
        <w:div w:id="1285118602">
          <w:marLeft w:val="0"/>
          <w:marRight w:val="0"/>
          <w:marTop w:val="0"/>
          <w:marBottom w:val="0"/>
          <w:divBdr>
            <w:top w:val="none" w:sz="0" w:space="0" w:color="auto"/>
            <w:left w:val="none" w:sz="0" w:space="0" w:color="auto"/>
            <w:bottom w:val="none" w:sz="0" w:space="0" w:color="auto"/>
            <w:right w:val="none" w:sz="0" w:space="0" w:color="auto"/>
          </w:divBdr>
        </w:div>
      </w:divsChild>
    </w:div>
    <w:div w:id="53550291">
      <w:bodyDiv w:val="1"/>
      <w:marLeft w:val="0"/>
      <w:marRight w:val="0"/>
      <w:marTop w:val="0"/>
      <w:marBottom w:val="0"/>
      <w:divBdr>
        <w:top w:val="none" w:sz="0" w:space="0" w:color="auto"/>
        <w:left w:val="none" w:sz="0" w:space="0" w:color="auto"/>
        <w:bottom w:val="none" w:sz="0" w:space="0" w:color="auto"/>
        <w:right w:val="none" w:sz="0" w:space="0" w:color="auto"/>
      </w:divBdr>
      <w:divsChild>
        <w:div w:id="545725848">
          <w:marLeft w:val="0"/>
          <w:marRight w:val="0"/>
          <w:marTop w:val="0"/>
          <w:marBottom w:val="0"/>
          <w:divBdr>
            <w:top w:val="none" w:sz="0" w:space="0" w:color="auto"/>
            <w:left w:val="none" w:sz="0" w:space="0" w:color="auto"/>
            <w:bottom w:val="none" w:sz="0" w:space="0" w:color="auto"/>
            <w:right w:val="none" w:sz="0" w:space="0" w:color="auto"/>
          </w:divBdr>
        </w:div>
        <w:div w:id="1133406382">
          <w:marLeft w:val="0"/>
          <w:marRight w:val="0"/>
          <w:marTop w:val="0"/>
          <w:marBottom w:val="0"/>
          <w:divBdr>
            <w:top w:val="none" w:sz="0" w:space="0" w:color="auto"/>
            <w:left w:val="none" w:sz="0" w:space="0" w:color="auto"/>
            <w:bottom w:val="none" w:sz="0" w:space="0" w:color="auto"/>
            <w:right w:val="none" w:sz="0" w:space="0" w:color="auto"/>
          </w:divBdr>
          <w:divsChild>
            <w:div w:id="1317419873">
              <w:marLeft w:val="0"/>
              <w:marRight w:val="0"/>
              <w:marTop w:val="0"/>
              <w:marBottom w:val="0"/>
              <w:divBdr>
                <w:top w:val="none" w:sz="0" w:space="0" w:color="auto"/>
                <w:left w:val="none" w:sz="0" w:space="0" w:color="auto"/>
                <w:bottom w:val="none" w:sz="0" w:space="0" w:color="auto"/>
                <w:right w:val="none" w:sz="0" w:space="0" w:color="auto"/>
              </w:divBdr>
              <w:divsChild>
                <w:div w:id="430928286">
                  <w:marLeft w:val="0"/>
                  <w:marRight w:val="0"/>
                  <w:marTop w:val="0"/>
                  <w:marBottom w:val="0"/>
                  <w:divBdr>
                    <w:top w:val="none" w:sz="0" w:space="0" w:color="auto"/>
                    <w:left w:val="none" w:sz="0" w:space="0" w:color="auto"/>
                    <w:bottom w:val="none" w:sz="0" w:space="0" w:color="auto"/>
                    <w:right w:val="none" w:sz="0" w:space="0" w:color="auto"/>
                  </w:divBdr>
                  <w:divsChild>
                    <w:div w:id="19941712">
                      <w:marLeft w:val="0"/>
                      <w:marRight w:val="0"/>
                      <w:marTop w:val="0"/>
                      <w:marBottom w:val="0"/>
                      <w:divBdr>
                        <w:top w:val="none" w:sz="0" w:space="0" w:color="auto"/>
                        <w:left w:val="none" w:sz="0" w:space="0" w:color="auto"/>
                        <w:bottom w:val="none" w:sz="0" w:space="0" w:color="auto"/>
                        <w:right w:val="none" w:sz="0" w:space="0" w:color="auto"/>
                      </w:divBdr>
                      <w:divsChild>
                        <w:div w:id="1427381684">
                          <w:marLeft w:val="0"/>
                          <w:marRight w:val="0"/>
                          <w:marTop w:val="0"/>
                          <w:marBottom w:val="0"/>
                          <w:divBdr>
                            <w:top w:val="none" w:sz="0" w:space="0" w:color="auto"/>
                            <w:left w:val="none" w:sz="0" w:space="0" w:color="auto"/>
                            <w:bottom w:val="none" w:sz="0" w:space="0" w:color="auto"/>
                            <w:right w:val="none" w:sz="0" w:space="0" w:color="auto"/>
                          </w:divBdr>
                          <w:divsChild>
                            <w:div w:id="1650592908">
                              <w:marLeft w:val="0"/>
                              <w:marRight w:val="0"/>
                              <w:marTop w:val="0"/>
                              <w:marBottom w:val="0"/>
                              <w:divBdr>
                                <w:top w:val="none" w:sz="0" w:space="0" w:color="auto"/>
                                <w:left w:val="none" w:sz="0" w:space="0" w:color="auto"/>
                                <w:bottom w:val="none" w:sz="0" w:space="0" w:color="auto"/>
                                <w:right w:val="none" w:sz="0" w:space="0" w:color="auto"/>
                              </w:divBdr>
                              <w:divsChild>
                                <w:div w:id="1845585513">
                                  <w:marLeft w:val="0"/>
                                  <w:marRight w:val="0"/>
                                  <w:marTop w:val="0"/>
                                  <w:marBottom w:val="0"/>
                                  <w:divBdr>
                                    <w:top w:val="none" w:sz="0" w:space="0" w:color="auto"/>
                                    <w:left w:val="none" w:sz="0" w:space="0" w:color="auto"/>
                                    <w:bottom w:val="none" w:sz="0" w:space="0" w:color="auto"/>
                                    <w:right w:val="none" w:sz="0" w:space="0" w:color="auto"/>
                                  </w:divBdr>
                                </w:div>
                              </w:divsChild>
                            </w:div>
                            <w:div w:id="1772432049">
                              <w:marLeft w:val="0"/>
                              <w:marRight w:val="0"/>
                              <w:marTop w:val="0"/>
                              <w:marBottom w:val="0"/>
                              <w:divBdr>
                                <w:top w:val="none" w:sz="0" w:space="0" w:color="auto"/>
                                <w:left w:val="none" w:sz="0" w:space="0" w:color="auto"/>
                                <w:bottom w:val="none" w:sz="0" w:space="0" w:color="auto"/>
                                <w:right w:val="none" w:sz="0" w:space="0" w:color="auto"/>
                              </w:divBdr>
                            </w:div>
                          </w:divsChild>
                        </w:div>
                        <w:div w:id="778528145">
                          <w:marLeft w:val="0"/>
                          <w:marRight w:val="0"/>
                          <w:marTop w:val="0"/>
                          <w:marBottom w:val="0"/>
                          <w:divBdr>
                            <w:top w:val="none" w:sz="0" w:space="0" w:color="auto"/>
                            <w:left w:val="none" w:sz="0" w:space="0" w:color="auto"/>
                            <w:bottom w:val="none" w:sz="0" w:space="0" w:color="auto"/>
                            <w:right w:val="none" w:sz="0" w:space="0" w:color="auto"/>
                          </w:divBdr>
                          <w:divsChild>
                            <w:div w:id="2047631270">
                              <w:marLeft w:val="0"/>
                              <w:marRight w:val="0"/>
                              <w:marTop w:val="0"/>
                              <w:marBottom w:val="0"/>
                              <w:divBdr>
                                <w:top w:val="none" w:sz="0" w:space="0" w:color="auto"/>
                                <w:left w:val="none" w:sz="0" w:space="0" w:color="auto"/>
                                <w:bottom w:val="none" w:sz="0" w:space="0" w:color="auto"/>
                                <w:right w:val="none" w:sz="0" w:space="0" w:color="auto"/>
                              </w:divBdr>
                              <w:divsChild>
                                <w:div w:id="238252503">
                                  <w:marLeft w:val="0"/>
                                  <w:marRight w:val="0"/>
                                  <w:marTop w:val="0"/>
                                  <w:marBottom w:val="0"/>
                                  <w:divBdr>
                                    <w:top w:val="none" w:sz="0" w:space="0" w:color="auto"/>
                                    <w:left w:val="none" w:sz="0" w:space="0" w:color="auto"/>
                                    <w:bottom w:val="none" w:sz="0" w:space="0" w:color="auto"/>
                                    <w:right w:val="none" w:sz="0" w:space="0" w:color="auto"/>
                                  </w:divBdr>
                                </w:div>
                              </w:divsChild>
                            </w:div>
                            <w:div w:id="130632607">
                              <w:marLeft w:val="0"/>
                              <w:marRight w:val="0"/>
                              <w:marTop w:val="0"/>
                              <w:marBottom w:val="0"/>
                              <w:divBdr>
                                <w:top w:val="none" w:sz="0" w:space="0" w:color="auto"/>
                                <w:left w:val="none" w:sz="0" w:space="0" w:color="auto"/>
                                <w:bottom w:val="none" w:sz="0" w:space="0" w:color="auto"/>
                                <w:right w:val="none" w:sz="0" w:space="0" w:color="auto"/>
                              </w:divBdr>
                            </w:div>
                          </w:divsChild>
                        </w:div>
                        <w:div w:id="865673934">
                          <w:marLeft w:val="0"/>
                          <w:marRight w:val="0"/>
                          <w:marTop w:val="0"/>
                          <w:marBottom w:val="0"/>
                          <w:divBdr>
                            <w:top w:val="none" w:sz="0" w:space="0" w:color="auto"/>
                            <w:left w:val="none" w:sz="0" w:space="0" w:color="auto"/>
                            <w:bottom w:val="none" w:sz="0" w:space="0" w:color="auto"/>
                            <w:right w:val="none" w:sz="0" w:space="0" w:color="auto"/>
                          </w:divBdr>
                          <w:divsChild>
                            <w:div w:id="1794787435">
                              <w:marLeft w:val="0"/>
                              <w:marRight w:val="0"/>
                              <w:marTop w:val="0"/>
                              <w:marBottom w:val="0"/>
                              <w:divBdr>
                                <w:top w:val="none" w:sz="0" w:space="0" w:color="auto"/>
                                <w:left w:val="none" w:sz="0" w:space="0" w:color="auto"/>
                                <w:bottom w:val="none" w:sz="0" w:space="0" w:color="auto"/>
                                <w:right w:val="none" w:sz="0" w:space="0" w:color="auto"/>
                              </w:divBdr>
                              <w:divsChild>
                                <w:div w:id="317810057">
                                  <w:marLeft w:val="0"/>
                                  <w:marRight w:val="0"/>
                                  <w:marTop w:val="0"/>
                                  <w:marBottom w:val="0"/>
                                  <w:divBdr>
                                    <w:top w:val="none" w:sz="0" w:space="0" w:color="auto"/>
                                    <w:left w:val="none" w:sz="0" w:space="0" w:color="auto"/>
                                    <w:bottom w:val="none" w:sz="0" w:space="0" w:color="auto"/>
                                    <w:right w:val="none" w:sz="0" w:space="0" w:color="auto"/>
                                  </w:divBdr>
                                </w:div>
                              </w:divsChild>
                            </w:div>
                            <w:div w:id="1304896105">
                              <w:marLeft w:val="0"/>
                              <w:marRight w:val="0"/>
                              <w:marTop w:val="0"/>
                              <w:marBottom w:val="0"/>
                              <w:divBdr>
                                <w:top w:val="none" w:sz="0" w:space="0" w:color="auto"/>
                                <w:left w:val="none" w:sz="0" w:space="0" w:color="auto"/>
                                <w:bottom w:val="none" w:sz="0" w:space="0" w:color="auto"/>
                                <w:right w:val="none" w:sz="0" w:space="0" w:color="auto"/>
                              </w:divBdr>
                            </w:div>
                          </w:divsChild>
                        </w:div>
                        <w:div w:id="1927304054">
                          <w:marLeft w:val="0"/>
                          <w:marRight w:val="0"/>
                          <w:marTop w:val="0"/>
                          <w:marBottom w:val="0"/>
                          <w:divBdr>
                            <w:top w:val="none" w:sz="0" w:space="0" w:color="auto"/>
                            <w:left w:val="none" w:sz="0" w:space="0" w:color="auto"/>
                            <w:bottom w:val="none" w:sz="0" w:space="0" w:color="auto"/>
                            <w:right w:val="none" w:sz="0" w:space="0" w:color="auto"/>
                          </w:divBdr>
                          <w:divsChild>
                            <w:div w:id="79258324">
                              <w:marLeft w:val="0"/>
                              <w:marRight w:val="0"/>
                              <w:marTop w:val="0"/>
                              <w:marBottom w:val="0"/>
                              <w:divBdr>
                                <w:top w:val="none" w:sz="0" w:space="0" w:color="auto"/>
                                <w:left w:val="none" w:sz="0" w:space="0" w:color="auto"/>
                                <w:bottom w:val="none" w:sz="0" w:space="0" w:color="auto"/>
                                <w:right w:val="none" w:sz="0" w:space="0" w:color="auto"/>
                              </w:divBdr>
                              <w:divsChild>
                                <w:div w:id="14158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521136">
                  <w:marLeft w:val="0"/>
                  <w:marRight w:val="0"/>
                  <w:marTop w:val="0"/>
                  <w:marBottom w:val="0"/>
                  <w:divBdr>
                    <w:top w:val="none" w:sz="0" w:space="0" w:color="auto"/>
                    <w:left w:val="none" w:sz="0" w:space="0" w:color="auto"/>
                    <w:bottom w:val="none" w:sz="0" w:space="0" w:color="auto"/>
                    <w:right w:val="none" w:sz="0" w:space="0" w:color="auto"/>
                  </w:divBdr>
                  <w:divsChild>
                    <w:div w:id="14155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0353">
      <w:bodyDiv w:val="1"/>
      <w:marLeft w:val="0"/>
      <w:marRight w:val="0"/>
      <w:marTop w:val="0"/>
      <w:marBottom w:val="0"/>
      <w:divBdr>
        <w:top w:val="none" w:sz="0" w:space="0" w:color="auto"/>
        <w:left w:val="none" w:sz="0" w:space="0" w:color="auto"/>
        <w:bottom w:val="none" w:sz="0" w:space="0" w:color="auto"/>
        <w:right w:val="none" w:sz="0" w:space="0" w:color="auto"/>
      </w:divBdr>
    </w:div>
    <w:div w:id="1075980214">
      <w:bodyDiv w:val="1"/>
      <w:marLeft w:val="0"/>
      <w:marRight w:val="0"/>
      <w:marTop w:val="0"/>
      <w:marBottom w:val="0"/>
      <w:divBdr>
        <w:top w:val="none" w:sz="0" w:space="0" w:color="auto"/>
        <w:left w:val="none" w:sz="0" w:space="0" w:color="auto"/>
        <w:bottom w:val="none" w:sz="0" w:space="0" w:color="auto"/>
        <w:right w:val="none" w:sz="0" w:space="0" w:color="auto"/>
      </w:divBdr>
    </w:div>
    <w:div w:id="1100685643">
      <w:bodyDiv w:val="1"/>
      <w:marLeft w:val="0"/>
      <w:marRight w:val="0"/>
      <w:marTop w:val="0"/>
      <w:marBottom w:val="0"/>
      <w:divBdr>
        <w:top w:val="none" w:sz="0" w:space="0" w:color="auto"/>
        <w:left w:val="none" w:sz="0" w:space="0" w:color="auto"/>
        <w:bottom w:val="none" w:sz="0" w:space="0" w:color="auto"/>
        <w:right w:val="none" w:sz="0" w:space="0" w:color="auto"/>
      </w:divBdr>
    </w:div>
    <w:div w:id="1697802576">
      <w:bodyDiv w:val="1"/>
      <w:marLeft w:val="0"/>
      <w:marRight w:val="0"/>
      <w:marTop w:val="0"/>
      <w:marBottom w:val="0"/>
      <w:divBdr>
        <w:top w:val="none" w:sz="0" w:space="0" w:color="auto"/>
        <w:left w:val="none" w:sz="0" w:space="0" w:color="auto"/>
        <w:bottom w:val="none" w:sz="0" w:space="0" w:color="auto"/>
        <w:right w:val="none" w:sz="0" w:space="0" w:color="auto"/>
      </w:divBdr>
      <w:divsChild>
        <w:div w:id="333917837">
          <w:marLeft w:val="0"/>
          <w:marRight w:val="0"/>
          <w:marTop w:val="0"/>
          <w:marBottom w:val="0"/>
          <w:divBdr>
            <w:top w:val="none" w:sz="0" w:space="0" w:color="auto"/>
            <w:left w:val="none" w:sz="0" w:space="0" w:color="auto"/>
            <w:bottom w:val="none" w:sz="0" w:space="0" w:color="auto"/>
            <w:right w:val="none" w:sz="0" w:space="0" w:color="auto"/>
          </w:divBdr>
          <w:divsChild>
            <w:div w:id="1581984004">
              <w:marLeft w:val="0"/>
              <w:marRight w:val="0"/>
              <w:marTop w:val="0"/>
              <w:marBottom w:val="0"/>
              <w:divBdr>
                <w:top w:val="none" w:sz="0" w:space="0" w:color="auto"/>
                <w:left w:val="none" w:sz="0" w:space="0" w:color="auto"/>
                <w:bottom w:val="none" w:sz="0" w:space="0" w:color="auto"/>
                <w:right w:val="none" w:sz="0" w:space="0" w:color="auto"/>
              </w:divBdr>
              <w:divsChild>
                <w:div w:id="1340766426">
                  <w:marLeft w:val="0"/>
                  <w:marRight w:val="0"/>
                  <w:marTop w:val="0"/>
                  <w:marBottom w:val="0"/>
                  <w:divBdr>
                    <w:top w:val="none" w:sz="0" w:space="0" w:color="auto"/>
                    <w:left w:val="none" w:sz="0" w:space="0" w:color="auto"/>
                    <w:bottom w:val="none" w:sz="0" w:space="0" w:color="auto"/>
                    <w:right w:val="none" w:sz="0" w:space="0" w:color="auto"/>
                  </w:divBdr>
                  <w:divsChild>
                    <w:div w:id="7743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harrisc</dc:creator>
  <cp:lastModifiedBy>LaptopAdmin</cp:lastModifiedBy>
  <cp:revision>7</cp:revision>
  <cp:lastPrinted>2012-02-02T17:00:00Z</cp:lastPrinted>
  <dcterms:created xsi:type="dcterms:W3CDTF">2012-05-29T16:18:00Z</dcterms:created>
  <dcterms:modified xsi:type="dcterms:W3CDTF">2013-12-18T19:52:00Z</dcterms:modified>
</cp:coreProperties>
</file>